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011BC" w14:textId="4301618E" w:rsidR="00267BEA" w:rsidRPr="00771DAD" w:rsidRDefault="00267BEA" w:rsidP="00EA03C0">
      <w:pPr>
        <w:pStyle w:val="Normal1"/>
        <w:shd w:val="clear" w:color="auto" w:fill="FFFFFF"/>
        <w:rPr>
          <w:color w:val="000000" w:themeColor="text1"/>
          <w:lang w:val="sr-Cyrl-RS"/>
        </w:rPr>
      </w:pPr>
      <w:bookmarkStart w:id="0" w:name="_Hlk191044007"/>
      <w:bookmarkStart w:id="1" w:name="_Hlk197601594"/>
    </w:p>
    <w:p w14:paraId="52489A5E" w14:textId="3B840C5A" w:rsidR="00931ABE" w:rsidRPr="00771DAD" w:rsidRDefault="00931ABE" w:rsidP="00931ABE">
      <w:pPr>
        <w:pStyle w:val="Normal1"/>
        <w:shd w:val="clear" w:color="auto" w:fill="FFFFFF"/>
        <w:jc w:val="right"/>
        <w:rPr>
          <w:color w:val="000000" w:themeColor="text1"/>
          <w:lang w:val="sr-Cyrl-RS"/>
        </w:rPr>
      </w:pPr>
      <w:r w:rsidRPr="00771DAD">
        <w:rPr>
          <w:color w:val="000000" w:themeColor="text1"/>
          <w:lang w:val="sr-Cyrl-RS"/>
        </w:rPr>
        <w:t>ПРИЛОГ 1</w:t>
      </w:r>
    </w:p>
    <w:bookmarkEnd w:id="0"/>
    <w:p w14:paraId="15E33721" w14:textId="77777777" w:rsidR="00EA03C0" w:rsidRPr="00771DAD" w:rsidRDefault="00EA03C0" w:rsidP="00EA03C0">
      <w:pPr>
        <w:pStyle w:val="Normal1"/>
        <w:shd w:val="clear" w:color="auto" w:fill="FFFFFF"/>
        <w:jc w:val="both"/>
        <w:rPr>
          <w:color w:val="000000"/>
          <w:sz w:val="20"/>
          <w:szCs w:val="20"/>
          <w:lang w:val="sr-Cyrl-RS"/>
        </w:rPr>
      </w:pPr>
    </w:p>
    <w:p w14:paraId="48C6B3DF" w14:textId="77777777" w:rsidR="00EA03C0" w:rsidRPr="00771DAD" w:rsidRDefault="00EA03C0" w:rsidP="00EA03C0">
      <w:pPr>
        <w:pStyle w:val="Normal1"/>
        <w:shd w:val="clear" w:color="auto" w:fill="FFFFFF"/>
        <w:jc w:val="center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>ЛИСТА I</w:t>
      </w:r>
    </w:p>
    <w:p w14:paraId="09EF4569" w14:textId="77777777" w:rsidR="00EA03C0" w:rsidRPr="00771DAD" w:rsidRDefault="00EA03C0" w:rsidP="00EA03C0">
      <w:pPr>
        <w:pStyle w:val="Normal1"/>
        <w:shd w:val="clear" w:color="auto" w:fill="FFFFFF"/>
        <w:jc w:val="center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>ПРОЈЕКТИ ЗА КОЈЕ ЈЕ ОБАВЕЗНА ПРОЦЕНА УТИЦАЈА</w:t>
      </w:r>
    </w:p>
    <w:p w14:paraId="56D40695" w14:textId="215E6AEE" w:rsidR="00AE45FE" w:rsidRPr="00771DAD" w:rsidRDefault="00AE45FE" w:rsidP="008540F3">
      <w:pPr>
        <w:pStyle w:val="Normal1"/>
        <w:ind w:firstLine="720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 xml:space="preserve">Пројекти за које је обавезна процена утицаја на животну средину су: </w:t>
      </w:r>
    </w:p>
    <w:bookmarkEnd w:id="1"/>
    <w:p w14:paraId="1BB57A72" w14:textId="15853A61" w:rsidR="00EA03C0" w:rsidRPr="00771DAD" w:rsidRDefault="00EA03C0" w:rsidP="008540F3">
      <w:pPr>
        <w:pStyle w:val="Normal1"/>
        <w:spacing w:before="0" w:beforeAutospacing="0" w:after="0" w:afterAutospacing="0"/>
        <w:ind w:firstLine="720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>1. Постројења за:</w:t>
      </w:r>
    </w:p>
    <w:p w14:paraId="226D97F1" w14:textId="626D0A90" w:rsidR="00EA03C0" w:rsidRPr="00771DAD" w:rsidRDefault="00EA03C0" w:rsidP="00D8052C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>1) производњу и прераду нафте, нафтних деривата, природног гаса</w:t>
      </w:r>
      <w:r w:rsidRPr="00771DAD">
        <w:rPr>
          <w:color w:val="C00000"/>
          <w:lang w:val="sr-Cyrl-RS"/>
        </w:rPr>
        <w:t xml:space="preserve"> </w:t>
      </w:r>
      <w:r w:rsidR="00D8052C" w:rsidRPr="00771DAD">
        <w:rPr>
          <w:noProof/>
          <w:lang w:val="sr-Cyrl-RS"/>
        </w:rPr>
        <w:t xml:space="preserve">и уљних </w:t>
      </w:r>
      <w:r w:rsidRPr="00771DAD">
        <w:rPr>
          <w:noProof/>
          <w:lang w:val="sr-Cyrl-RS"/>
        </w:rPr>
        <w:t>шкриљаца</w:t>
      </w:r>
      <w:r w:rsidR="00B903C5" w:rsidRPr="00771DAD">
        <w:rPr>
          <w:noProof/>
          <w:lang w:val="sr-Cyrl-RS"/>
        </w:rPr>
        <w:t>,</w:t>
      </w:r>
    </w:p>
    <w:p w14:paraId="616ACBDF" w14:textId="1957FB48" w:rsidR="00EA03C0" w:rsidRPr="00771DAD" w:rsidRDefault="00EA03C0" w:rsidP="008540F3">
      <w:pPr>
        <w:pStyle w:val="Normal1"/>
        <w:shd w:val="clear" w:color="auto" w:fill="FFFFFF"/>
        <w:spacing w:before="0" w:beforeAutospacing="0" w:after="0" w:afterAutospacing="0"/>
        <w:ind w:firstLine="720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>2) гасификацију и топљење угља или уљних шкриљаца, тешких остатака сирове нафте</w:t>
      </w:r>
      <w:r w:rsidR="00B903C5" w:rsidRPr="00771DAD">
        <w:rPr>
          <w:color w:val="000000"/>
          <w:lang w:val="sr-Cyrl-RS"/>
        </w:rPr>
        <w:t>,</w:t>
      </w:r>
    </w:p>
    <w:p w14:paraId="22B594E7" w14:textId="065D6E55" w:rsidR="00EA03C0" w:rsidRPr="00771DAD" w:rsidRDefault="005260CB" w:rsidP="008540F3">
      <w:pPr>
        <w:pStyle w:val="Normal1"/>
        <w:shd w:val="clear" w:color="auto" w:fill="FFFFFF"/>
        <w:spacing w:before="0" w:beforeAutospacing="0" w:after="0" w:afterAutospacing="0"/>
        <w:ind w:firstLine="720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>3) суву дестилацију угља (</w:t>
      </w:r>
      <w:r w:rsidR="00E31A7F" w:rsidRPr="00771DAD">
        <w:rPr>
          <w:color w:val="000000"/>
          <w:lang w:val="sr-Cyrl-RS"/>
        </w:rPr>
        <w:t xml:space="preserve">коксаре, </w:t>
      </w:r>
      <w:r w:rsidRPr="00771DAD">
        <w:rPr>
          <w:color w:val="000000"/>
          <w:lang w:val="sr-Cyrl-RS"/>
        </w:rPr>
        <w:t xml:space="preserve">плинаре, тињајуће пећи и </w:t>
      </w:r>
      <w:r w:rsidR="00E31A7F" w:rsidRPr="00771DAD">
        <w:rPr>
          <w:color w:val="000000"/>
          <w:lang w:val="sr-Cyrl-RS"/>
        </w:rPr>
        <w:t>др);</w:t>
      </w:r>
    </w:p>
    <w:p w14:paraId="495E79B0" w14:textId="77777777" w:rsidR="008C5DDC" w:rsidRPr="00771DAD" w:rsidRDefault="008C5DDC" w:rsidP="008C5DDC">
      <w:pPr>
        <w:pStyle w:val="Normal1"/>
        <w:shd w:val="clear" w:color="auto" w:fill="FFFFFF"/>
        <w:spacing w:before="0" w:beforeAutospacing="0" w:after="0" w:afterAutospacing="0"/>
        <w:rPr>
          <w:color w:val="000000"/>
          <w:lang w:val="sr-Cyrl-RS"/>
        </w:rPr>
      </w:pPr>
    </w:p>
    <w:p w14:paraId="41071D3C" w14:textId="4E797D60" w:rsidR="00EA03C0" w:rsidRPr="00771DAD" w:rsidRDefault="00EA03C0" w:rsidP="008540F3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>2. Постројења:</w:t>
      </w:r>
    </w:p>
    <w:p w14:paraId="24198693" w14:textId="115AC2C6" w:rsidR="00EA03C0" w:rsidRPr="00771DAD" w:rsidRDefault="00EA03C0" w:rsidP="008540F3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>1) за производњу електричне</w:t>
      </w:r>
      <w:r w:rsidRPr="00771DAD">
        <w:rPr>
          <w:lang w:val="sr-Cyrl-RS"/>
        </w:rPr>
        <w:t xml:space="preserve"> и/или топлотне </w:t>
      </w:r>
      <w:r w:rsidRPr="00771DAD">
        <w:rPr>
          <w:color w:val="000000"/>
          <w:lang w:val="sr-Cyrl-RS"/>
        </w:rPr>
        <w:t>енергије, водене паре, топле воде, технолошке паре или загрејаних гасова, употребом свих врста горива, као и постројења за погон радних машина (термоелектране, топлане, гасне турбине, постројења са мотором са унутрашњим сагоревањем и остали уређаји за сагоревање укључујући и парне котлове) са снагом од 50 МW</w:t>
      </w:r>
      <w:r w:rsidR="00192ECC" w:rsidRPr="00771DAD">
        <w:rPr>
          <w:color w:val="000000"/>
          <w:lang w:val="sr-Cyrl-RS"/>
        </w:rPr>
        <w:t xml:space="preserve"> или више,</w:t>
      </w:r>
    </w:p>
    <w:p w14:paraId="15CBF226" w14:textId="240C1665" w:rsidR="00EA03C0" w:rsidRPr="00771DAD" w:rsidRDefault="00EA03C0" w:rsidP="008540F3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 xml:space="preserve">2) </w:t>
      </w:r>
      <w:r w:rsidRPr="00771DAD">
        <w:rPr>
          <w:lang w:val="sr-Cyrl-RS"/>
        </w:rPr>
        <w:t>нуклеарне електране и остали</w:t>
      </w:r>
      <w:r w:rsidRPr="00771DAD">
        <w:rPr>
          <w:color w:val="A02B93" w:themeColor="accent5"/>
          <w:lang w:val="sr-Cyrl-RS"/>
        </w:rPr>
        <w:t xml:space="preserve"> </w:t>
      </w:r>
      <w:r w:rsidRPr="00771DAD">
        <w:rPr>
          <w:color w:val="000000"/>
          <w:lang w:val="sr-Cyrl-RS"/>
        </w:rPr>
        <w:t>нуклеарни реактори, укључујући демонтажу или искључење из погона таквих реактора, изузев научноистраживачких постројења за производњу и конверзију фисионих и обогаћених материјала, чија укупна снага не прелази 1 kW сталног термалног оптерећења (</w:t>
      </w:r>
      <w:r w:rsidR="00192ECC" w:rsidRPr="00771DAD">
        <w:rPr>
          <w:lang w:val="sr-Cyrl-RS"/>
        </w:rPr>
        <w:t>н</w:t>
      </w:r>
      <w:r w:rsidRPr="00771DAD">
        <w:rPr>
          <w:lang w:val="sr-Cyrl-RS"/>
        </w:rPr>
        <w:t>уклеарни реактори престају да буду оваква постројења када се целокупно нуклеарно гориво и други радиоактивно загађени елементи трајно уклоне са места на коме су постројења изграђена)</w:t>
      </w:r>
      <w:r w:rsidR="00192ECC" w:rsidRPr="00771DAD">
        <w:rPr>
          <w:lang w:val="sr-Cyrl-RS"/>
        </w:rPr>
        <w:t>,</w:t>
      </w:r>
      <w:r w:rsidRPr="00771DAD">
        <w:rPr>
          <w:color w:val="000000"/>
          <w:lang w:val="sr-Cyrl-RS"/>
        </w:rPr>
        <w:t xml:space="preserve"> </w:t>
      </w:r>
    </w:p>
    <w:p w14:paraId="6A107D7F" w14:textId="2312BA0D" w:rsidR="00EA03C0" w:rsidRPr="00771DAD" w:rsidRDefault="00EA03C0" w:rsidP="008540F3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 w:rsidRPr="00771DAD">
        <w:rPr>
          <w:lang w:val="sr-Cyrl-RS"/>
        </w:rPr>
        <w:t>3) хидроелектране снаге 10 МW и веће</w:t>
      </w:r>
      <w:r w:rsidR="00192ECC" w:rsidRPr="00771DAD">
        <w:rPr>
          <w:lang w:val="sr-Cyrl-RS"/>
        </w:rPr>
        <w:t>,</w:t>
      </w:r>
      <w:r w:rsidRPr="00771DAD">
        <w:rPr>
          <w:lang w:val="sr-Cyrl-RS"/>
        </w:rPr>
        <w:t xml:space="preserve"> </w:t>
      </w:r>
    </w:p>
    <w:p w14:paraId="15AB61C2" w14:textId="77777777" w:rsidR="00EA03C0" w:rsidRPr="00771DAD" w:rsidRDefault="00EA03C0" w:rsidP="008540F3">
      <w:pPr>
        <w:pStyle w:val="Normal1"/>
        <w:spacing w:before="0" w:beforeAutospacing="0" w:after="0" w:afterAutospacing="0"/>
        <w:ind w:firstLine="720"/>
        <w:jc w:val="both"/>
        <w:rPr>
          <w:lang w:val="sr-Cyrl-RS"/>
        </w:rPr>
      </w:pPr>
      <w:r w:rsidRPr="00771DAD">
        <w:rPr>
          <w:lang w:val="sr-Cyrl-RS"/>
        </w:rPr>
        <w:t>4) ветроелектране укључујући пројекте третмана и/или збрињавања истрошених ветротурбина:</w:t>
      </w:r>
    </w:p>
    <w:p w14:paraId="6AD2032D" w14:textId="5FB25A95" w:rsidR="00EA03C0" w:rsidRPr="00771DAD" w:rsidRDefault="00EA03C0" w:rsidP="008540F3">
      <w:pPr>
        <w:pStyle w:val="Normal1"/>
        <w:spacing w:before="0" w:beforeAutospacing="0" w:after="0" w:afterAutospacing="0"/>
        <w:ind w:firstLine="720"/>
        <w:jc w:val="both"/>
        <w:rPr>
          <w:lang w:val="sr-Cyrl-RS"/>
        </w:rPr>
      </w:pPr>
      <w:r w:rsidRPr="00771DAD">
        <w:rPr>
          <w:lang w:val="sr-Cyrl-RS"/>
        </w:rPr>
        <w:t xml:space="preserve">(1) снаге 10 MW и веће или површине на којима се налазе 10 ha </w:t>
      </w:r>
      <w:r w:rsidR="00B903C5" w:rsidRPr="00771DAD">
        <w:rPr>
          <w:lang w:val="sr-Cyrl-RS"/>
        </w:rPr>
        <w:t>или веће,</w:t>
      </w:r>
    </w:p>
    <w:p w14:paraId="03C64034" w14:textId="47CA4777" w:rsidR="00EA03C0" w:rsidRPr="00771DAD" w:rsidRDefault="00EA03C0" w:rsidP="008540F3">
      <w:pPr>
        <w:pStyle w:val="Normal1"/>
        <w:spacing w:before="0" w:beforeAutospacing="0" w:after="0" w:afterAutospacing="0"/>
        <w:ind w:firstLine="720"/>
        <w:jc w:val="both"/>
        <w:rPr>
          <w:lang w:val="sr-Cyrl-RS"/>
        </w:rPr>
      </w:pPr>
      <w:r w:rsidRPr="00771DAD">
        <w:rPr>
          <w:lang w:val="sr-Cyrl-RS"/>
        </w:rPr>
        <w:t>(2) сви пројекти ако се планирају у близини правца миграције, гнездилишта, подизања младих или одморишта миграторних и/или  заштићених  врста</w:t>
      </w:r>
      <w:r w:rsidR="00192ECC" w:rsidRPr="00771DAD">
        <w:rPr>
          <w:lang w:val="sr-Cyrl-RS"/>
        </w:rPr>
        <w:t xml:space="preserve"> птица,</w:t>
      </w:r>
      <w:r w:rsidRPr="00771DAD">
        <w:rPr>
          <w:lang w:val="sr-Cyrl-RS"/>
        </w:rPr>
        <w:t xml:space="preserve">  </w:t>
      </w:r>
    </w:p>
    <w:p w14:paraId="6799BAD8" w14:textId="77777777" w:rsidR="00EA03C0" w:rsidRPr="00771DAD" w:rsidRDefault="00EA03C0" w:rsidP="008540F3">
      <w:pPr>
        <w:pStyle w:val="Normal1"/>
        <w:spacing w:before="0" w:beforeAutospacing="0" w:after="0" w:afterAutospacing="0"/>
        <w:ind w:firstLine="720"/>
        <w:jc w:val="both"/>
        <w:rPr>
          <w:lang w:val="sr-Cyrl-RS"/>
        </w:rPr>
      </w:pPr>
      <w:r w:rsidRPr="00771DAD">
        <w:rPr>
          <w:lang w:val="sr-Cyrl-RS"/>
        </w:rPr>
        <w:t>5) соларне електране као самостојећи објекти снаге 10 MW  и веће и/или површине на којима се налазе 10 ha или веће укључујући пројекте третмана и/или збрињавања истрошених или оштећених соларних панела;</w:t>
      </w:r>
    </w:p>
    <w:p w14:paraId="4E4AF9D1" w14:textId="035AA9E7" w:rsidR="00EA03C0" w:rsidRPr="00771DAD" w:rsidRDefault="00EA03C0" w:rsidP="00B903C5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/>
          <w:lang w:val="sr-Cyrl-RS"/>
        </w:rPr>
      </w:pPr>
    </w:p>
    <w:p w14:paraId="23A90119" w14:textId="3AF3DC88" w:rsidR="00EA03C0" w:rsidRPr="00771DAD" w:rsidRDefault="00EA03C0" w:rsidP="008540F3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bookmarkStart w:id="2" w:name="_Hlk198300086"/>
      <w:r w:rsidRPr="00771DAD">
        <w:rPr>
          <w:lang w:val="sr-Cyrl-RS"/>
        </w:rPr>
        <w:t>3. Постројења за:</w:t>
      </w:r>
    </w:p>
    <w:p w14:paraId="6A89B82A" w14:textId="7B8906AE" w:rsidR="00EA03C0" w:rsidRPr="00771DAD" w:rsidRDefault="00EA03C0" w:rsidP="0075603A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 w:rsidRPr="00771DAD">
        <w:rPr>
          <w:lang w:val="sr-Cyrl-RS"/>
        </w:rPr>
        <w:t>1) прера</w:t>
      </w:r>
      <w:r w:rsidR="003C6DE1" w:rsidRPr="00771DAD">
        <w:rPr>
          <w:lang w:val="sr-Cyrl-RS"/>
        </w:rPr>
        <w:t>ду истрошеног нуклеарног горива,</w:t>
      </w:r>
    </w:p>
    <w:p w14:paraId="65FA9D0B" w14:textId="11812020" w:rsidR="00EA03C0" w:rsidRPr="00771DAD" w:rsidRDefault="00EA03C0" w:rsidP="0075603A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 w:rsidRPr="00771DAD">
        <w:rPr>
          <w:lang w:val="sr-Cyrl-RS"/>
        </w:rPr>
        <w:t xml:space="preserve">2) производњу или обогаћивање </w:t>
      </w:r>
      <w:r w:rsidR="003C6DE1" w:rsidRPr="00771DAD">
        <w:rPr>
          <w:lang w:val="sr-Cyrl-RS"/>
        </w:rPr>
        <w:t>нуклеарног горива,</w:t>
      </w:r>
    </w:p>
    <w:p w14:paraId="51C8421A" w14:textId="536B020A" w:rsidR="00EA03C0" w:rsidRPr="00771DAD" w:rsidRDefault="00EA03C0" w:rsidP="0075603A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 w:rsidRPr="00771DAD">
        <w:rPr>
          <w:lang w:val="sr-Cyrl-RS"/>
        </w:rPr>
        <w:t>3) обраду радиоактивног отпада укључујући и мобилна постројења за обраду радиоактивног отпада</w:t>
      </w:r>
      <w:r w:rsidR="003C6DE1" w:rsidRPr="00771DAD">
        <w:rPr>
          <w:lang w:val="sr-Cyrl-RS"/>
        </w:rPr>
        <w:t>,</w:t>
      </w:r>
    </w:p>
    <w:p w14:paraId="3AF2A661" w14:textId="420F2CBB" w:rsidR="00EA03C0" w:rsidRPr="00771DAD" w:rsidRDefault="00EA03C0" w:rsidP="0075603A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 w:rsidRPr="00771DAD">
        <w:rPr>
          <w:lang w:val="sr-Cyrl-RS"/>
        </w:rPr>
        <w:t xml:space="preserve">4) одлагање и/или складиштење </w:t>
      </w:r>
      <w:r w:rsidR="003C6DE1" w:rsidRPr="00771DAD">
        <w:rPr>
          <w:lang w:val="sr-Cyrl-RS"/>
        </w:rPr>
        <w:t>истрошеног нуклеарног горива,</w:t>
      </w:r>
    </w:p>
    <w:p w14:paraId="09E5B1FB" w14:textId="526E5AF9" w:rsidR="00EA03C0" w:rsidRPr="00771DAD" w:rsidRDefault="00EA03C0" w:rsidP="009D7B85">
      <w:pPr>
        <w:spacing w:after="0"/>
        <w:ind w:firstLine="720"/>
        <w:jc w:val="both"/>
        <w:rPr>
          <w:rFonts w:ascii="Times New Roman" w:hAnsi="Times New Roman" w:cs="Times New Roman"/>
          <w:lang w:val="sr-Cyrl-RS"/>
        </w:rPr>
      </w:pPr>
      <w:r w:rsidRPr="00771DAD">
        <w:rPr>
          <w:rFonts w:ascii="Times New Roman" w:hAnsi="Times New Roman" w:cs="Times New Roman"/>
          <w:lang w:val="sr-Cyrl-RS"/>
        </w:rPr>
        <w:t>5) одлагање и/или складиштење радиоактивног отпада</w:t>
      </w:r>
      <w:r w:rsidR="009D7B85" w:rsidRPr="00771DAD">
        <w:rPr>
          <w:rFonts w:ascii="Times New Roman" w:hAnsi="Times New Roman" w:cs="Times New Roman"/>
          <w:lang w:val="sr-Cyrl-RS"/>
        </w:rPr>
        <w:t xml:space="preserve"> и ислужених извора </w:t>
      </w:r>
      <w:r w:rsidRPr="00771DAD">
        <w:rPr>
          <w:rFonts w:ascii="Times New Roman" w:hAnsi="Times New Roman" w:cs="Times New Roman"/>
          <w:lang w:val="sr-Cyrl-RS"/>
        </w:rPr>
        <w:t>зрачења;</w:t>
      </w:r>
    </w:p>
    <w:bookmarkEnd w:id="2"/>
    <w:p w14:paraId="5C215043" w14:textId="43C62B81" w:rsidR="00EA03C0" w:rsidRPr="00771DAD" w:rsidRDefault="00EA03C0" w:rsidP="00EA03C0">
      <w:pPr>
        <w:spacing w:after="0"/>
        <w:rPr>
          <w:rFonts w:ascii="Times New Roman" w:hAnsi="Times New Roman" w:cs="Times New Roman"/>
          <w:color w:val="000000"/>
          <w:lang w:val="sr-Cyrl-RS"/>
        </w:rPr>
      </w:pPr>
    </w:p>
    <w:p w14:paraId="247FBF65" w14:textId="77777777" w:rsidR="008540F3" w:rsidRPr="00771DAD" w:rsidRDefault="008540F3" w:rsidP="0066345D">
      <w:pPr>
        <w:spacing w:after="0"/>
        <w:jc w:val="both"/>
        <w:rPr>
          <w:rFonts w:ascii="Times New Roman" w:hAnsi="Times New Roman" w:cs="Times New Roman"/>
          <w:color w:val="000000"/>
          <w:lang w:val="sr-Cyrl-RS"/>
        </w:rPr>
      </w:pPr>
    </w:p>
    <w:p w14:paraId="0511136E" w14:textId="77777777" w:rsidR="00EA03C0" w:rsidRPr="00771DAD" w:rsidRDefault="00EA03C0" w:rsidP="0066345D">
      <w:pPr>
        <w:spacing w:after="0"/>
        <w:ind w:firstLine="720"/>
        <w:jc w:val="both"/>
        <w:rPr>
          <w:rFonts w:ascii="Times New Roman" w:hAnsi="Times New Roman" w:cs="Times New Roman"/>
          <w:color w:val="000000"/>
          <w:lang w:val="sr-Cyrl-RS"/>
        </w:rPr>
      </w:pPr>
      <w:r w:rsidRPr="00771DAD">
        <w:rPr>
          <w:rFonts w:ascii="Times New Roman" w:hAnsi="Times New Roman" w:cs="Times New Roman"/>
          <w:color w:val="000000"/>
          <w:lang w:val="sr-Cyrl-RS"/>
        </w:rPr>
        <w:t>4. Постројења:</w:t>
      </w:r>
    </w:p>
    <w:p w14:paraId="777E9533" w14:textId="37C373E4" w:rsidR="00EA03C0" w:rsidRPr="00771DAD" w:rsidRDefault="00EA03C0" w:rsidP="00296078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 xml:space="preserve">1) за печење или синтеровање металне </w:t>
      </w:r>
      <w:r w:rsidR="00B657A4" w:rsidRPr="00771DAD">
        <w:rPr>
          <w:color w:val="000000"/>
          <w:lang w:val="sr-Cyrl-RS"/>
        </w:rPr>
        <w:t>руде (укључујући сулфидну руду),</w:t>
      </w:r>
    </w:p>
    <w:p w14:paraId="71C39B81" w14:textId="29A3C3FA" w:rsidR="00EA03C0" w:rsidRPr="00771DAD" w:rsidRDefault="00EA03C0" w:rsidP="00296078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>2) за производњу сировог гвожђа или челика (примарно или секундарно топљење) укључујући континуално ливење, са капацитетом који прелази 2,5 t/h</w:t>
      </w:r>
      <w:r w:rsidR="00B657A4" w:rsidRPr="00771DAD">
        <w:rPr>
          <w:color w:val="000000"/>
          <w:lang w:val="sr-Cyrl-RS"/>
        </w:rPr>
        <w:t>,</w:t>
      </w:r>
    </w:p>
    <w:p w14:paraId="230596C9" w14:textId="3E5C619A" w:rsidR="00EA03C0" w:rsidRPr="00771DAD" w:rsidRDefault="00EA03C0" w:rsidP="00296078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>3) за прераду у црној металургији:</w:t>
      </w:r>
    </w:p>
    <w:p w14:paraId="5FDDD415" w14:textId="0FB360A3" w:rsidR="00EA03C0" w:rsidRPr="00771DAD" w:rsidRDefault="00EA03C0" w:rsidP="00CA1BC8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>(1) топле ваљаонице са капацитетом изнад 20 t/h</w:t>
      </w:r>
      <w:r w:rsidR="00B657A4" w:rsidRPr="00771DAD">
        <w:rPr>
          <w:color w:val="000000"/>
          <w:lang w:val="sr-Cyrl-RS"/>
        </w:rPr>
        <w:t xml:space="preserve"> сировог челика,</w:t>
      </w:r>
    </w:p>
    <w:p w14:paraId="0621A826" w14:textId="79E0EB11" w:rsidR="00EA03C0" w:rsidRPr="00771DAD" w:rsidRDefault="00EA03C0" w:rsidP="00CA1BC8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>(2) ковачнице са аутоматским чекићима чија енергија прелази 50 kJ по једном чекићу, код којих употребљена топлотна снага прелази 20 МW</w:t>
      </w:r>
      <w:r w:rsidR="00B657A4" w:rsidRPr="00771DAD">
        <w:rPr>
          <w:color w:val="000000"/>
          <w:lang w:val="sr-Cyrl-RS"/>
        </w:rPr>
        <w:t>,</w:t>
      </w:r>
    </w:p>
    <w:p w14:paraId="2E6FA6DD" w14:textId="6256AF81" w:rsidR="00EA03C0" w:rsidRPr="00771DAD" w:rsidRDefault="00EA03C0" w:rsidP="00CA1BC8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>(3) постројења за наношење металних заштитних слојева на металне површине помоћу топљених купки, са улазом који прелази 2 t/h сировог материјала;</w:t>
      </w:r>
    </w:p>
    <w:p w14:paraId="074573E9" w14:textId="690B3190" w:rsidR="00EA03C0" w:rsidRPr="00771DAD" w:rsidRDefault="00EA03C0" w:rsidP="00CA1BC8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>4) ливнице црне металургије са производним капацитетом преко 20 t</w:t>
      </w:r>
      <w:r w:rsidR="00B657A4" w:rsidRPr="00771DAD">
        <w:rPr>
          <w:color w:val="000000"/>
          <w:lang w:val="sr-Cyrl-RS"/>
        </w:rPr>
        <w:t xml:space="preserve"> на дан,</w:t>
      </w:r>
    </w:p>
    <w:p w14:paraId="0E7C5A55" w14:textId="77777777" w:rsidR="00EA03C0" w:rsidRPr="00771DAD" w:rsidRDefault="00EA03C0" w:rsidP="00CA1BC8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lang w:val="sr-Cyrl-RS"/>
        </w:rPr>
        <w:t>5) п</w:t>
      </w:r>
      <w:r w:rsidRPr="00771DAD">
        <w:rPr>
          <w:color w:val="000000"/>
          <w:lang w:val="sr-Cyrl-RS"/>
        </w:rPr>
        <w:t>остројења за:</w:t>
      </w:r>
    </w:p>
    <w:p w14:paraId="3F3B5002" w14:textId="51362CB8" w:rsidR="00EA03C0" w:rsidRPr="00771DAD" w:rsidRDefault="00EA03C0" w:rsidP="00CA1BC8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 xml:space="preserve">(1) производњу обојених сирових метала из руде </w:t>
      </w:r>
      <w:r w:rsidRPr="00771DAD">
        <w:rPr>
          <w:lang w:val="sr-Cyrl-RS"/>
        </w:rPr>
        <w:t>или њихових једињења,</w:t>
      </w:r>
      <w:r w:rsidRPr="00771DAD">
        <w:rPr>
          <w:color w:val="000000"/>
          <w:lang w:val="sr-Cyrl-RS"/>
        </w:rPr>
        <w:t xml:space="preserve"> концентрата, секундарних сировина металуршким и/или хемијским</w:t>
      </w:r>
      <w:r w:rsidRPr="00771DAD">
        <w:rPr>
          <w:color w:val="C00000"/>
          <w:lang w:val="sr-Cyrl-RS"/>
        </w:rPr>
        <w:t xml:space="preserve"> </w:t>
      </w:r>
      <w:r w:rsidRPr="00771DAD">
        <w:rPr>
          <w:color w:val="000000"/>
          <w:lang w:val="sr-Cyrl-RS"/>
        </w:rPr>
        <w:t>поступцима и/или електролизом</w:t>
      </w:r>
      <w:r w:rsidR="00B657A4" w:rsidRPr="00771DAD">
        <w:rPr>
          <w:color w:val="000000"/>
          <w:lang w:val="sr-Cyrl-RS"/>
        </w:rPr>
        <w:t>,</w:t>
      </w:r>
    </w:p>
    <w:p w14:paraId="0154B42E" w14:textId="3DD0CF33" w:rsidR="00EA03C0" w:rsidRPr="00771DAD" w:rsidRDefault="00EA03C0" w:rsidP="00CA1BC8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lang w:val="sr-Cyrl-RS"/>
        </w:rPr>
      </w:pPr>
      <w:r w:rsidRPr="00771DAD">
        <w:rPr>
          <w:rFonts w:ascii="Times New Roman" w:hAnsi="Times New Roman" w:cs="Times New Roman"/>
          <w:bCs/>
          <w:lang w:val="sr-Cyrl-RS"/>
        </w:rPr>
        <w:t>(2) производњу, прераду и обраду племенитих метала</w:t>
      </w:r>
      <w:r w:rsidR="00B657A4" w:rsidRPr="00771DAD">
        <w:rPr>
          <w:rFonts w:ascii="Times New Roman" w:hAnsi="Times New Roman" w:cs="Times New Roman"/>
          <w:bCs/>
          <w:lang w:val="sr-Cyrl-RS"/>
        </w:rPr>
        <w:t>,</w:t>
      </w:r>
    </w:p>
    <w:p w14:paraId="341E4D89" w14:textId="6D30BFDE" w:rsidR="00EA03C0" w:rsidRPr="00771DAD" w:rsidRDefault="00EA03C0" w:rsidP="00CA1BC8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>(3) топљење, укључујући и израду легура од обојених метала, као и израду корисних нуспроизвода (рафинација, ливење, итд) са капацитетом топљења од преко 4 t на дан за олово и кадмијум или 20 t на дан за све остале метале;</w:t>
      </w:r>
    </w:p>
    <w:p w14:paraId="27650ED2" w14:textId="7E9028F8" w:rsidR="00EA03C0" w:rsidRPr="00771DAD" w:rsidRDefault="00EA03C0" w:rsidP="00CA1BC8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>6) површинску обраду метала и пластичних материјала коришћењем електролитичких или хемијских процеса, где запремина када за третман прелази 30 m</w:t>
      </w:r>
      <w:r w:rsidR="00B657A4" w:rsidRPr="00771DAD">
        <w:rPr>
          <w:color w:val="000000"/>
          <w:lang w:val="sr-Cyrl-RS"/>
        </w:rPr>
        <w:t>³,</w:t>
      </w:r>
    </w:p>
    <w:p w14:paraId="6AF65C36" w14:textId="6B73CB8E" w:rsidR="00EA03C0" w:rsidRPr="00771DAD" w:rsidRDefault="00EA03C0" w:rsidP="00CA1BC8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 w:rsidRPr="00771DAD">
        <w:rPr>
          <w:lang w:val="sr-Cyrl-RS"/>
        </w:rPr>
        <w:t>7) производњу батерија, која није искључиво њихово састављање, производног капацитета  15.000 t батеријских ћелија (катоде, аноде, електролит, сепаратор, капсула) годишње и више</w:t>
      </w:r>
      <w:r w:rsidR="008822D4" w:rsidRPr="00771DAD">
        <w:rPr>
          <w:lang w:val="sr-Cyrl-RS"/>
        </w:rPr>
        <w:t>;</w:t>
      </w:r>
    </w:p>
    <w:p w14:paraId="083C803A" w14:textId="77777777" w:rsidR="00EA03C0" w:rsidRPr="00771DAD" w:rsidRDefault="00EA03C0" w:rsidP="0066345D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/>
          <w:lang w:val="sr-Cyrl-RS"/>
        </w:rPr>
      </w:pPr>
    </w:p>
    <w:p w14:paraId="140FE73F" w14:textId="77777777" w:rsidR="00EA03C0" w:rsidRPr="00771DAD" w:rsidRDefault="00EA03C0" w:rsidP="00F2012C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>5.</w:t>
      </w:r>
      <w:r w:rsidRPr="00771DAD">
        <w:rPr>
          <w:color w:val="000000"/>
          <w:sz w:val="20"/>
          <w:szCs w:val="20"/>
          <w:lang w:val="sr-Cyrl-RS"/>
        </w:rPr>
        <w:t xml:space="preserve"> </w:t>
      </w:r>
      <w:r w:rsidRPr="00771DAD">
        <w:rPr>
          <w:color w:val="000000"/>
          <w:lang w:val="sr-Cyrl-RS"/>
        </w:rPr>
        <w:t>Постројења за:</w:t>
      </w:r>
    </w:p>
    <w:p w14:paraId="14653EDD" w14:textId="030F1F6B" w:rsidR="00EA03C0" w:rsidRPr="00771DAD" w:rsidRDefault="00EA03C0" w:rsidP="00F2012C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>1) екстракцију, производњу, прераду и обраду азбеста и пр</w:t>
      </w:r>
      <w:r w:rsidR="00F2012C" w:rsidRPr="00771DAD">
        <w:rPr>
          <w:color w:val="000000"/>
          <w:lang w:val="sr-Cyrl-RS"/>
        </w:rPr>
        <w:t>оизвода који садрже азбест,</w:t>
      </w:r>
    </w:p>
    <w:p w14:paraId="4C608247" w14:textId="1B48ED16" w:rsidR="00EA03C0" w:rsidRPr="00771DAD" w:rsidRDefault="00EA03C0" w:rsidP="00F2012C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>2) производњу цементног клинкера, цемента и креча у ротационим или другим пећима капацитета преко 500 t на дан за производњу цементног клинкера или креча капацитета преко 50 t на дан у ротационим или другим пећима;</w:t>
      </w:r>
    </w:p>
    <w:p w14:paraId="3CF19C06" w14:textId="0D21C66B" w:rsidR="00E31A7F" w:rsidRPr="00771DAD" w:rsidRDefault="00E31A7F" w:rsidP="0066345D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 xml:space="preserve"> </w:t>
      </w:r>
    </w:p>
    <w:p w14:paraId="26F97220" w14:textId="7C59A821" w:rsidR="00EA03C0" w:rsidRPr="00771DAD" w:rsidRDefault="00EA03C0" w:rsidP="004301EC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>6. Комбинована хемијска постројења за индустријску производњу супстанци код којих се примењују поступци хемијске промене и у којима се поједини погони налазе један поред другог и функционално су повезани, намењени за производњу:</w:t>
      </w:r>
    </w:p>
    <w:p w14:paraId="5B80CE26" w14:textId="6DE7E59E" w:rsidR="00EA03C0" w:rsidRPr="00771DAD" w:rsidRDefault="00EA03C0" w:rsidP="004301EC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>1) основних (базних) органских х</w:t>
      </w:r>
      <w:r w:rsidR="00EE4310" w:rsidRPr="00771DAD">
        <w:rPr>
          <w:color w:val="000000"/>
          <w:lang w:val="sr-Cyrl-RS"/>
        </w:rPr>
        <w:t>емикалија,</w:t>
      </w:r>
    </w:p>
    <w:p w14:paraId="55F4EF01" w14:textId="1A6BEE4F" w:rsidR="00EA03C0" w:rsidRPr="00771DAD" w:rsidRDefault="00EA03C0" w:rsidP="004301EC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 xml:space="preserve">2) основних </w:t>
      </w:r>
      <w:r w:rsidR="00EE4310" w:rsidRPr="00771DAD">
        <w:rPr>
          <w:color w:val="000000"/>
          <w:lang w:val="sr-Cyrl-RS"/>
        </w:rPr>
        <w:t>(базних) неорганских хемикалија,</w:t>
      </w:r>
    </w:p>
    <w:p w14:paraId="03B213F9" w14:textId="625B3614" w:rsidR="00EA03C0" w:rsidRPr="00771DAD" w:rsidRDefault="00EA03C0" w:rsidP="004301EC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 xml:space="preserve">3) </w:t>
      </w:r>
      <w:r w:rsidR="00F53784" w:rsidRPr="00771DAD">
        <w:rPr>
          <w:color w:val="000000"/>
          <w:lang w:val="sr-Cyrl-RS"/>
        </w:rPr>
        <w:t>неорганских</w:t>
      </w:r>
      <w:r w:rsidRPr="00771DAD">
        <w:rPr>
          <w:color w:val="000000"/>
          <w:lang w:val="sr-Cyrl-RS"/>
        </w:rPr>
        <w:t xml:space="preserve"> ђубрива на бази фосфора, азота или калијума (проста или сложена </w:t>
      </w:r>
      <w:r w:rsidR="004D1139" w:rsidRPr="00771DAD">
        <w:rPr>
          <w:color w:val="000000"/>
          <w:lang w:val="sr-Cyrl-RS"/>
        </w:rPr>
        <w:t>неорганска</w:t>
      </w:r>
      <w:r w:rsidRPr="00771DAD">
        <w:rPr>
          <w:color w:val="000000"/>
          <w:lang w:val="sr-Cyrl-RS"/>
        </w:rPr>
        <w:t xml:space="preserve"> </w:t>
      </w:r>
      <w:r w:rsidR="00EE4310" w:rsidRPr="00771DAD">
        <w:rPr>
          <w:color w:val="000000"/>
          <w:lang w:val="sr-Cyrl-RS"/>
        </w:rPr>
        <w:t>ђубрива),</w:t>
      </w:r>
    </w:p>
    <w:p w14:paraId="7746463B" w14:textId="7FE7DDB9" w:rsidR="00EA03C0" w:rsidRPr="00771DAD" w:rsidRDefault="00EA03C0" w:rsidP="004301EC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 xml:space="preserve">4) основних (базних) </w:t>
      </w:r>
      <w:r w:rsidR="004D1139" w:rsidRPr="00771DAD">
        <w:rPr>
          <w:color w:val="000000"/>
          <w:lang w:val="sr-Cyrl-RS"/>
        </w:rPr>
        <w:t>средстава</w:t>
      </w:r>
      <w:r w:rsidR="00EE4310" w:rsidRPr="00771DAD">
        <w:rPr>
          <w:color w:val="000000"/>
          <w:lang w:val="sr-Cyrl-RS"/>
        </w:rPr>
        <w:t xml:space="preserve"> за заштиту биља и биоцида,</w:t>
      </w:r>
    </w:p>
    <w:p w14:paraId="70FED9CA" w14:textId="385C6672" w:rsidR="00EA03C0" w:rsidRPr="00771DAD" w:rsidRDefault="00EA03C0" w:rsidP="004301EC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>5) основних (базних) фармацеутских производа уз примену хе</w:t>
      </w:r>
      <w:r w:rsidR="00EE4310" w:rsidRPr="00771DAD">
        <w:rPr>
          <w:color w:val="000000"/>
          <w:lang w:val="sr-Cyrl-RS"/>
        </w:rPr>
        <w:t>мијских или биолошких поступака,</w:t>
      </w:r>
    </w:p>
    <w:p w14:paraId="27928A6A" w14:textId="38F85876" w:rsidR="00EA03C0" w:rsidRPr="00771DAD" w:rsidRDefault="00EA03C0" w:rsidP="004301EC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>6) прераду и/или обраду експлозива;</w:t>
      </w:r>
    </w:p>
    <w:p w14:paraId="3BD4DDBF" w14:textId="77777777" w:rsidR="00EA03C0" w:rsidRPr="00771DAD" w:rsidRDefault="00EA03C0" w:rsidP="004301EC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/>
          <w:lang w:val="sr-Cyrl-RS"/>
        </w:rPr>
      </w:pPr>
    </w:p>
    <w:p w14:paraId="275286A1" w14:textId="4C21187B" w:rsidR="00EA03C0" w:rsidRPr="00771DAD" w:rsidRDefault="00EA03C0" w:rsidP="004301EC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bookmarkStart w:id="3" w:name="_Hlk197601664"/>
      <w:r w:rsidRPr="00771DAD">
        <w:rPr>
          <w:color w:val="000000"/>
          <w:lang w:val="sr-Cyrl-RS"/>
        </w:rPr>
        <w:t>7. Изградња:</w:t>
      </w:r>
    </w:p>
    <w:p w14:paraId="392FC947" w14:textId="2790587E" w:rsidR="00EA03C0" w:rsidRPr="00771DAD" w:rsidRDefault="00EA03C0" w:rsidP="004301EC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noProof/>
          <w:lang w:val="sr-Cyrl-RS"/>
        </w:rPr>
      </w:pPr>
      <w:r w:rsidRPr="00771DAD">
        <w:rPr>
          <w:color w:val="000000"/>
          <w:lang w:val="sr-Cyrl-RS"/>
        </w:rPr>
        <w:t xml:space="preserve">1) </w:t>
      </w:r>
      <w:r w:rsidRPr="00771DAD">
        <w:rPr>
          <w:noProof/>
          <w:lang w:val="sr-Cyrl-RS"/>
        </w:rPr>
        <w:t xml:space="preserve">дуголинијских железничких пруга (магистралних и регионалних) за јавни саобраћај укључујући припадајуће објекте (мостове, тунеле, </w:t>
      </w:r>
      <w:r w:rsidRPr="00771DAD">
        <w:rPr>
          <w:lang w:val="sr-Cyrl-RS"/>
        </w:rPr>
        <w:t>подземне и надземне</w:t>
      </w:r>
      <w:r w:rsidRPr="00771DAD">
        <w:rPr>
          <w:noProof/>
          <w:lang w:val="sr-Cyrl-RS"/>
        </w:rPr>
        <w:t xml:space="preserve"> </w:t>
      </w:r>
      <w:r w:rsidR="00EE4310" w:rsidRPr="00771DAD">
        <w:rPr>
          <w:noProof/>
          <w:lang w:val="sr-Cyrl-RS"/>
        </w:rPr>
        <w:t>станице),</w:t>
      </w:r>
    </w:p>
    <w:p w14:paraId="79497C09" w14:textId="77777777" w:rsidR="00EA03C0" w:rsidRPr="00771DAD" w:rsidRDefault="00EA03C0" w:rsidP="004301EC">
      <w:pPr>
        <w:pStyle w:val="Normal1"/>
        <w:shd w:val="clear" w:color="auto" w:fill="FFFFFF"/>
        <w:spacing w:before="0" w:beforeAutospacing="0" w:after="0" w:afterAutospacing="0"/>
        <w:jc w:val="both"/>
        <w:rPr>
          <w:color w:val="A02B93" w:themeColor="accent5"/>
          <w:highlight w:val="yellow"/>
          <w:lang w:val="sr-Cyrl-RS"/>
        </w:rPr>
      </w:pPr>
    </w:p>
    <w:p w14:paraId="13285DE8" w14:textId="6A3F3F83" w:rsidR="00EA03C0" w:rsidRPr="00771DAD" w:rsidRDefault="00EA03C0" w:rsidP="00EC2B76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 w:rsidRPr="00771DAD">
        <w:rPr>
          <w:lang w:val="sr-Cyrl-RS"/>
        </w:rPr>
        <w:lastRenderedPageBreak/>
        <w:t>2) секција или обнова пруге или линије железничког саобраћаја које по величини и начину извођења одговарају изградњи пруге или линије железничко</w:t>
      </w:r>
      <w:r w:rsidR="00EC2B76" w:rsidRPr="00771DAD">
        <w:rPr>
          <w:lang w:val="sr-Cyrl-RS"/>
        </w:rPr>
        <w:t>г саобраћаја за веће удаљености,</w:t>
      </w:r>
    </w:p>
    <w:p w14:paraId="43FB86AA" w14:textId="7ECD7D4B" w:rsidR="00EA03C0" w:rsidRPr="00771DAD" w:rsidRDefault="00EA03C0" w:rsidP="00EC2B76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 w:rsidRPr="00771DAD">
        <w:rPr>
          <w:lang w:val="sr-Cyrl-RS"/>
        </w:rPr>
        <w:t xml:space="preserve">3) аутопутева </w:t>
      </w:r>
      <w:r w:rsidR="00203080" w:rsidRPr="00771DAD">
        <w:rPr>
          <w:lang w:val="sr-Cyrl-RS"/>
        </w:rPr>
        <w:t xml:space="preserve">и мотопутева </w:t>
      </w:r>
      <w:r w:rsidRPr="00771DAD">
        <w:rPr>
          <w:lang w:val="sr-Cyrl-RS"/>
        </w:rPr>
        <w:t>(државних путева</w:t>
      </w:r>
      <w:r w:rsidR="00203080" w:rsidRPr="00771DAD">
        <w:rPr>
          <w:lang w:val="sr-Cyrl-RS"/>
        </w:rPr>
        <w:t xml:space="preserve"> који имају карактеристике аутопута дефинисане законом којим се уређују путеви, односно безбедност саобраћаја на путевима</w:t>
      </w:r>
      <w:r w:rsidRPr="00771DAD">
        <w:rPr>
          <w:lang w:val="sr-Cyrl-RS"/>
        </w:rPr>
        <w:t>) и/или брзих (експресних) путева</w:t>
      </w:r>
      <w:r w:rsidR="00EC2B76" w:rsidRPr="00771DAD">
        <w:rPr>
          <w:lang w:val="sr-Cyrl-RS"/>
        </w:rPr>
        <w:t>,</w:t>
      </w:r>
    </w:p>
    <w:p w14:paraId="31E67D9F" w14:textId="441F8408" w:rsidR="00EA03C0" w:rsidRPr="00771DAD" w:rsidRDefault="00EA03C0" w:rsidP="00EC2B76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 w:rsidRPr="00771DAD">
        <w:rPr>
          <w:lang w:val="sr-Cyrl-RS"/>
        </w:rPr>
        <w:t>4)</w:t>
      </w:r>
      <w:r w:rsidRPr="00771DAD">
        <w:rPr>
          <w:sz w:val="20"/>
          <w:szCs w:val="20"/>
          <w:lang w:val="sr-Cyrl-RS"/>
        </w:rPr>
        <w:t xml:space="preserve"> </w:t>
      </w:r>
      <w:r w:rsidRPr="00771DAD">
        <w:rPr>
          <w:lang w:val="sr-Cyrl-RS"/>
        </w:rPr>
        <w:t>делова, или обнова аутопута и/или брзог (експресног) пута који би по величини и начину извођења одговарали изградњи аутопута и/или експресног</w:t>
      </w:r>
      <w:r w:rsidR="00EC2B76" w:rsidRPr="00771DAD">
        <w:rPr>
          <w:lang w:val="sr-Cyrl-RS"/>
        </w:rPr>
        <w:t xml:space="preserve"> пута,</w:t>
      </w:r>
    </w:p>
    <w:p w14:paraId="02B0F747" w14:textId="254867FF" w:rsidR="00EA03C0" w:rsidRPr="00771DAD" w:rsidRDefault="00EA03C0" w:rsidP="00EC2B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Cyrl-RS"/>
        </w:rPr>
      </w:pPr>
      <w:r w:rsidRPr="00771DAD">
        <w:rPr>
          <w:rFonts w:ascii="Times New Roman" w:hAnsi="Times New Roman" w:cs="Times New Roman"/>
          <w:noProof/>
          <w:lang w:val="sr-Cyrl-RS"/>
        </w:rPr>
        <w:t>5) путева са четири или више трака, или реконструкција и/или проширење постојећег пута са две траке или мање, са циљем добијања пута са четири или више трака, у случају да такав нови пут или реконструисана и/или проширена деоница имају непрекидну дужину од преко 10 km или више, укључујући припадајуће објек</w:t>
      </w:r>
      <w:r w:rsidR="00EC2B76" w:rsidRPr="00771DAD">
        <w:rPr>
          <w:rFonts w:ascii="Times New Roman" w:hAnsi="Times New Roman" w:cs="Times New Roman"/>
          <w:noProof/>
          <w:lang w:val="sr-Cyrl-RS"/>
        </w:rPr>
        <w:t>те, осим пратећих садржаја пута,</w:t>
      </w:r>
    </w:p>
    <w:p w14:paraId="77A01D87" w14:textId="5A9A5AB8" w:rsidR="00EA03C0" w:rsidRPr="00771DAD" w:rsidRDefault="00EA03C0" w:rsidP="00EC2B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lang w:val="sr-Cyrl-RS"/>
        </w:rPr>
      </w:pPr>
      <w:bookmarkStart w:id="4" w:name="_Hlk197601707"/>
      <w:bookmarkEnd w:id="3"/>
      <w:r w:rsidRPr="00771DAD">
        <w:rPr>
          <w:rFonts w:ascii="Times New Roman" w:hAnsi="Times New Roman" w:cs="Times New Roman"/>
          <w:noProof/>
          <w:lang w:val="sr-Cyrl-RS"/>
        </w:rPr>
        <w:t>6) аеродрома чија је полетна писта дужине 2100 m или више</w:t>
      </w:r>
      <w:r w:rsidRPr="00771DAD">
        <w:rPr>
          <w:rFonts w:ascii="Times New Roman" w:eastAsia="Times New Roman" w:hAnsi="Times New Roman" w:cs="Times New Roman"/>
          <w:lang w:val="sr-Cyrl-RS"/>
        </w:rPr>
        <w:t xml:space="preserve"> укључујући и проширење капацитета аеродрома чија је полетна дужин</w:t>
      </w:r>
      <w:r w:rsidR="001B36D1" w:rsidRPr="00771DAD">
        <w:rPr>
          <w:rFonts w:ascii="Times New Roman" w:eastAsia="Times New Roman" w:hAnsi="Times New Roman" w:cs="Times New Roman"/>
          <w:lang w:val="sr-Cyrl-RS"/>
        </w:rPr>
        <w:t>а</w:t>
      </w:r>
      <w:r w:rsidRPr="00771DAD">
        <w:rPr>
          <w:rFonts w:ascii="Times New Roman" w:eastAsia="Times New Roman" w:hAnsi="Times New Roman" w:cs="Times New Roman"/>
          <w:lang w:val="sr-Cyrl-RS"/>
        </w:rPr>
        <w:t xml:space="preserve"> 2100</w:t>
      </w:r>
      <w:r w:rsidRPr="00771DAD">
        <w:rPr>
          <w:rFonts w:ascii="Times New Roman" w:hAnsi="Times New Roman" w:cs="Times New Roman"/>
          <w:noProof/>
          <w:lang w:val="sr-Cyrl-RS"/>
        </w:rPr>
        <w:t xml:space="preserve"> m</w:t>
      </w:r>
      <w:r w:rsidRPr="00771DAD">
        <w:rPr>
          <w:rFonts w:ascii="Times New Roman" w:eastAsia="Times New Roman" w:hAnsi="Times New Roman" w:cs="Times New Roman"/>
          <w:lang w:val="sr-Cyrl-RS"/>
        </w:rPr>
        <w:t xml:space="preserve"> или више са или без продужења дужине полетне писте</w:t>
      </w:r>
      <w:r w:rsidR="00EC2B76" w:rsidRPr="00771DAD">
        <w:rPr>
          <w:rFonts w:ascii="Times New Roman" w:eastAsia="Times New Roman" w:hAnsi="Times New Roman" w:cs="Times New Roman"/>
          <w:lang w:val="sr-Cyrl-RS"/>
        </w:rPr>
        <w:t>,</w:t>
      </w:r>
    </w:p>
    <w:p w14:paraId="29DF5880" w14:textId="1BC61384" w:rsidR="00EA03C0" w:rsidRPr="00771DAD" w:rsidRDefault="00EA03C0" w:rsidP="00EC2B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771DAD">
        <w:rPr>
          <w:rFonts w:ascii="Times New Roman" w:eastAsia="Times New Roman" w:hAnsi="Times New Roman" w:cs="Times New Roman"/>
          <w:lang w:val="sr-Cyrl-RS"/>
        </w:rPr>
        <w:t>7)</w:t>
      </w:r>
      <w:r w:rsidRPr="00771DAD">
        <w:rPr>
          <w:rFonts w:ascii="Times New Roman" w:hAnsi="Times New Roman" w:cs="Times New Roman"/>
          <w:noProof/>
          <w:lang w:val="sr-Cyrl-RS"/>
        </w:rPr>
        <w:t xml:space="preserve"> </w:t>
      </w:r>
      <w:r w:rsidRPr="00771DAD">
        <w:rPr>
          <w:rFonts w:ascii="Times New Roman" w:eastAsia="Times New Roman" w:hAnsi="Times New Roman" w:cs="Times New Roman"/>
          <w:lang w:val="sr-Cyrl-RS"/>
        </w:rPr>
        <w:t>унутрашњих пловних путева, као и лука и пристаништа које се налазе на унутрашњем пловном путу, регулациони радови на унутрашњим пловним путевима којима се омогућава пролаз пловним објектима од преко 1350 t;</w:t>
      </w:r>
    </w:p>
    <w:bookmarkEnd w:id="4"/>
    <w:p w14:paraId="7852F0FA" w14:textId="77777777" w:rsidR="00EA03C0" w:rsidRPr="00771DAD" w:rsidRDefault="00EA03C0" w:rsidP="00EC2B7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2"/>
          <w:szCs w:val="22"/>
          <w:lang w:val="sr-Cyrl-RS"/>
        </w:rPr>
      </w:pPr>
    </w:p>
    <w:p w14:paraId="3BC640AC" w14:textId="71FBD3C6" w:rsidR="00EA03C0" w:rsidRPr="00771DAD" w:rsidRDefault="00EA03C0" w:rsidP="00EC2B7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771DAD">
        <w:rPr>
          <w:rFonts w:ascii="Times New Roman" w:eastAsia="Times New Roman" w:hAnsi="Times New Roman" w:cs="Times New Roman"/>
          <w:lang w:val="sr-Cyrl-RS"/>
        </w:rPr>
        <w:t>8. Постројења за:</w:t>
      </w:r>
    </w:p>
    <w:p w14:paraId="3F1489F9" w14:textId="15D9FC60" w:rsidR="00EA03C0" w:rsidRPr="00771DAD" w:rsidRDefault="00EA03C0" w:rsidP="00EC2B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lang w:val="sr-Cyrl-RS"/>
        </w:rPr>
      </w:pPr>
      <w:r w:rsidRPr="00771DAD">
        <w:rPr>
          <w:rFonts w:ascii="Times New Roman" w:hAnsi="Times New Roman" w:cs="Times New Roman"/>
          <w:noProof/>
          <w:lang w:val="sr-Cyrl-RS"/>
        </w:rPr>
        <w:t>1)</w:t>
      </w:r>
      <w:r w:rsidRPr="00771DAD">
        <w:rPr>
          <w:rFonts w:ascii="Times New Roman" w:eastAsia="Times New Roman" w:hAnsi="Times New Roman" w:cs="Times New Roman"/>
          <w:lang w:val="sr-Cyrl-RS"/>
        </w:rPr>
        <w:t xml:space="preserve"> третман опасног отпада термичким, физичким, физичко-хемијским, хемијским и/или биолошким поступцима (укључујући и мобилна постројења) као и складишта и/или депоније за одлагање опасног отпада</w:t>
      </w:r>
      <w:r w:rsidR="00EC2B76" w:rsidRPr="00771DAD">
        <w:rPr>
          <w:rFonts w:ascii="Times New Roman" w:eastAsia="Times New Roman" w:hAnsi="Times New Roman" w:cs="Times New Roman"/>
          <w:lang w:val="sr-Cyrl-RS"/>
        </w:rPr>
        <w:t>,</w:t>
      </w:r>
      <w:r w:rsidR="00011D05" w:rsidRPr="00771DAD">
        <w:rPr>
          <w:rFonts w:ascii="Times New Roman" w:eastAsia="Times New Roman" w:hAnsi="Times New Roman" w:cs="Times New Roman"/>
          <w:lang w:val="sr-Cyrl-RS"/>
        </w:rPr>
        <w:t xml:space="preserve"> изузев постројења - аутоклав у државним здравственим установама за стерилизацију сопственог инфективног медицинског отпада;</w:t>
      </w:r>
    </w:p>
    <w:p w14:paraId="546AB872" w14:textId="1EE0EC8D" w:rsidR="00EA03C0" w:rsidRPr="00771DAD" w:rsidRDefault="00EA03C0" w:rsidP="00EC2B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color w:val="FF0000"/>
          <w:lang w:val="sr-Cyrl-RS"/>
        </w:rPr>
      </w:pPr>
      <w:r w:rsidRPr="00771DAD">
        <w:rPr>
          <w:rFonts w:ascii="Times New Roman" w:hAnsi="Times New Roman" w:cs="Times New Roman"/>
          <w:noProof/>
          <w:lang w:val="sr-Cyrl-RS"/>
        </w:rPr>
        <w:t>2)</w:t>
      </w:r>
      <w:r w:rsidRPr="00771DAD">
        <w:rPr>
          <w:rFonts w:ascii="Times New Roman" w:eastAsia="Times New Roman" w:hAnsi="Times New Roman" w:cs="Times New Roman"/>
          <w:lang w:val="sr-Cyrl-RS"/>
        </w:rPr>
        <w:t xml:space="preserve"> третман отпада који није опасан термичким</w:t>
      </w:r>
      <w:r w:rsidRPr="00771DAD">
        <w:rPr>
          <w:rFonts w:ascii="Times New Roman" w:eastAsia="Times New Roman" w:hAnsi="Times New Roman" w:cs="Times New Roman"/>
          <w:color w:val="A02B93" w:themeColor="accent5"/>
          <w:lang w:val="sr-Cyrl-RS"/>
        </w:rPr>
        <w:t xml:space="preserve"> </w:t>
      </w:r>
      <w:r w:rsidRPr="00771DAD">
        <w:rPr>
          <w:rFonts w:ascii="Times New Roman" w:eastAsia="Times New Roman" w:hAnsi="Times New Roman" w:cs="Times New Roman"/>
          <w:lang w:val="sr-Cyrl-RS"/>
        </w:rPr>
        <w:t>и/или</w:t>
      </w:r>
      <w:r w:rsidRPr="00771DAD">
        <w:rPr>
          <w:rFonts w:ascii="Times New Roman" w:eastAsia="Times New Roman" w:hAnsi="Times New Roman" w:cs="Times New Roman"/>
          <w:color w:val="A02B93" w:themeColor="accent5"/>
          <w:lang w:val="sr-Cyrl-RS"/>
        </w:rPr>
        <w:t xml:space="preserve"> </w:t>
      </w:r>
      <w:r w:rsidRPr="00771DAD">
        <w:rPr>
          <w:rFonts w:ascii="Times New Roman" w:eastAsia="Times New Roman" w:hAnsi="Times New Roman" w:cs="Times New Roman"/>
          <w:lang w:val="sr-Cyrl-RS"/>
        </w:rPr>
        <w:t>хемијским</w:t>
      </w:r>
      <w:r w:rsidRPr="00771DAD">
        <w:rPr>
          <w:rFonts w:ascii="Times New Roman" w:eastAsia="Times New Roman" w:hAnsi="Times New Roman" w:cs="Times New Roman"/>
          <w:color w:val="A02B93" w:themeColor="accent5"/>
          <w:lang w:val="sr-Cyrl-RS"/>
        </w:rPr>
        <w:t xml:space="preserve"> </w:t>
      </w:r>
      <w:r w:rsidRPr="00771DAD">
        <w:rPr>
          <w:rFonts w:ascii="Times New Roman" w:eastAsia="Times New Roman" w:hAnsi="Times New Roman" w:cs="Times New Roman"/>
          <w:lang w:val="sr-Cyrl-RS"/>
        </w:rPr>
        <w:t>поступцима као и складишта и/или депоније за одлагање неопасног отпада капацитета 50 t на дан и више или укупног капацитета 25.000 t и више</w:t>
      </w:r>
      <w:r w:rsidRPr="00771DAD">
        <w:rPr>
          <w:rFonts w:ascii="Times New Roman" w:hAnsi="Times New Roman" w:cs="Times New Roman"/>
          <w:lang w:val="sr-Cyrl-RS"/>
        </w:rPr>
        <w:t xml:space="preserve"> </w:t>
      </w:r>
      <w:r w:rsidRPr="00771DAD">
        <w:rPr>
          <w:rFonts w:ascii="Times New Roman" w:eastAsia="Times New Roman" w:hAnsi="Times New Roman" w:cs="Times New Roman"/>
          <w:lang w:val="sr-Cyrl-RS"/>
        </w:rPr>
        <w:t>укључујући пројекте затварања депоније и санације</w:t>
      </w:r>
      <w:r w:rsidR="00EC2B76" w:rsidRPr="00771DAD">
        <w:rPr>
          <w:rFonts w:ascii="Times New Roman" w:eastAsia="Times New Roman" w:hAnsi="Times New Roman" w:cs="Times New Roman"/>
          <w:lang w:val="sr-Cyrl-RS"/>
        </w:rPr>
        <w:t>,</w:t>
      </w:r>
    </w:p>
    <w:p w14:paraId="42771EBD" w14:textId="526C66D9" w:rsidR="00EA03C0" w:rsidRPr="00771DAD" w:rsidRDefault="00EA03C0" w:rsidP="00EC2B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771DAD">
        <w:rPr>
          <w:rFonts w:ascii="Times New Roman" w:eastAsia="Times New Roman" w:hAnsi="Times New Roman" w:cs="Times New Roman"/>
          <w:lang w:val="sr-Cyrl-RS"/>
        </w:rPr>
        <w:t xml:space="preserve">3) </w:t>
      </w:r>
      <w:bookmarkStart w:id="5" w:name="_Hlk192598427"/>
      <w:r w:rsidRPr="00771DAD">
        <w:rPr>
          <w:rFonts w:ascii="Times New Roman" w:eastAsia="Times New Roman" w:hAnsi="Times New Roman" w:cs="Times New Roman"/>
          <w:lang w:val="sr-Cyrl-RS"/>
        </w:rPr>
        <w:t>термички третман комуналног отпада капацитета 3 t/h</w:t>
      </w:r>
      <w:r w:rsidR="00EC2B76" w:rsidRPr="00771DAD">
        <w:rPr>
          <w:rFonts w:ascii="Times New Roman" w:eastAsia="Times New Roman" w:hAnsi="Times New Roman" w:cs="Times New Roman"/>
          <w:lang w:val="sr-Cyrl-RS"/>
        </w:rPr>
        <w:t>,</w:t>
      </w:r>
    </w:p>
    <w:p w14:paraId="18E7A310" w14:textId="6D84CF7E" w:rsidR="00EA03C0" w:rsidRPr="00771DAD" w:rsidRDefault="00EA03C0" w:rsidP="00EC2B7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771DAD">
        <w:rPr>
          <w:rFonts w:ascii="Times New Roman" w:eastAsia="Times New Roman" w:hAnsi="Times New Roman" w:cs="Times New Roman"/>
          <w:lang w:val="sr-Cyrl-RS"/>
        </w:rPr>
        <w:t>4) депоније комуналног отпада</w:t>
      </w:r>
      <w:r w:rsidRPr="00771DAD">
        <w:rPr>
          <w:rFonts w:ascii="Times New Roman" w:hAnsi="Times New Roman" w:cs="Times New Roman"/>
          <w:lang w:val="sr-Cyrl-RS"/>
        </w:rPr>
        <w:t xml:space="preserve"> </w:t>
      </w:r>
      <w:r w:rsidRPr="00771DAD">
        <w:rPr>
          <w:rFonts w:ascii="Times New Roman" w:eastAsia="Times New Roman" w:hAnsi="Times New Roman" w:cs="Times New Roman"/>
          <w:lang w:val="sr-Cyrl-RS"/>
        </w:rPr>
        <w:t>капацитета 10 t на дан и више или укупног капацитета 25.000 t и више</w:t>
      </w:r>
      <w:r w:rsidRPr="00771DAD">
        <w:rPr>
          <w:rFonts w:ascii="Times New Roman" w:hAnsi="Times New Roman" w:cs="Times New Roman"/>
          <w:lang w:val="sr-Cyrl-RS"/>
        </w:rPr>
        <w:t xml:space="preserve"> </w:t>
      </w:r>
      <w:r w:rsidRPr="00771DAD">
        <w:rPr>
          <w:rFonts w:ascii="Times New Roman" w:eastAsia="Times New Roman" w:hAnsi="Times New Roman" w:cs="Times New Roman"/>
          <w:lang w:val="sr-Cyrl-RS"/>
        </w:rPr>
        <w:t>укључујући пројект</w:t>
      </w:r>
      <w:r w:rsidR="00EC2B76" w:rsidRPr="00771DAD">
        <w:rPr>
          <w:rFonts w:ascii="Times New Roman" w:eastAsia="Times New Roman" w:hAnsi="Times New Roman" w:cs="Times New Roman"/>
          <w:lang w:val="sr-Cyrl-RS"/>
        </w:rPr>
        <w:t>е затварања депоније и санације,</w:t>
      </w:r>
    </w:p>
    <w:p w14:paraId="5BF8B31F" w14:textId="04FD4828" w:rsidR="00EA03C0" w:rsidRPr="00771DAD" w:rsidRDefault="00EA03C0" w:rsidP="00EC2B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771DAD">
        <w:rPr>
          <w:rFonts w:ascii="Times New Roman" w:eastAsia="Times New Roman" w:hAnsi="Times New Roman" w:cs="Times New Roman"/>
          <w:lang w:val="sr-Cyrl-RS"/>
        </w:rPr>
        <w:t xml:space="preserve">5) </w:t>
      </w:r>
      <w:r w:rsidRPr="00771DAD">
        <w:rPr>
          <w:rFonts w:ascii="Times New Roman" w:hAnsi="Times New Roman" w:cs="Times New Roman"/>
          <w:lang w:val="sr-Cyrl-RS"/>
        </w:rPr>
        <w:t>одлагање муља који садржи опасне материје</w:t>
      </w:r>
      <w:r w:rsidR="00EC2B76" w:rsidRPr="00771DAD">
        <w:rPr>
          <w:rFonts w:ascii="Times New Roman" w:eastAsia="Times New Roman" w:hAnsi="Times New Roman" w:cs="Times New Roman"/>
          <w:lang w:val="sr-Cyrl-RS"/>
        </w:rPr>
        <w:t>,</w:t>
      </w:r>
    </w:p>
    <w:p w14:paraId="7142D1EB" w14:textId="03FFEA14" w:rsidR="00EC2B76" w:rsidRPr="00771DAD" w:rsidRDefault="00EA03C0" w:rsidP="00EC2B76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lang w:val="sr-Cyrl-RS"/>
        </w:rPr>
      </w:pPr>
      <w:r w:rsidRPr="00771DAD">
        <w:rPr>
          <w:rFonts w:ascii="Times New Roman" w:eastAsia="Times New Roman" w:hAnsi="Times New Roman" w:cs="Times New Roman"/>
          <w:lang w:val="sr-Cyrl-RS"/>
        </w:rPr>
        <w:t xml:space="preserve">6) </w:t>
      </w:r>
      <w:r w:rsidRPr="00771DAD">
        <w:rPr>
          <w:rFonts w:ascii="Times New Roman" w:hAnsi="Times New Roman" w:cs="Times New Roman"/>
          <w:bCs/>
          <w:lang w:val="sr-Cyrl-RS"/>
        </w:rPr>
        <w:t xml:space="preserve">третман и/или збрињавање </w:t>
      </w:r>
      <w:r w:rsidR="00245A48" w:rsidRPr="00771DAD">
        <w:rPr>
          <w:rFonts w:ascii="Times New Roman" w:hAnsi="Times New Roman" w:cs="Times New Roman"/>
          <w:bCs/>
          <w:lang w:val="sr-Cyrl-RS"/>
        </w:rPr>
        <w:t xml:space="preserve">опасног или штетног </w:t>
      </w:r>
      <w:r w:rsidRPr="00771DAD">
        <w:rPr>
          <w:rFonts w:ascii="Times New Roman" w:hAnsi="Times New Roman" w:cs="Times New Roman"/>
          <w:bCs/>
          <w:lang w:val="sr-Cyrl-RS"/>
        </w:rPr>
        <w:t>отпада насталог током истраживања, вађења/експлоатације, обогаћивања или складиштења минер</w:t>
      </w:r>
      <w:r w:rsidR="00245A48" w:rsidRPr="00771DAD">
        <w:rPr>
          <w:rFonts w:ascii="Times New Roman" w:hAnsi="Times New Roman" w:cs="Times New Roman"/>
          <w:bCs/>
          <w:lang w:val="sr-Cyrl-RS"/>
        </w:rPr>
        <w:t>алних сировина</w:t>
      </w:r>
      <w:r w:rsidRPr="00771DAD">
        <w:rPr>
          <w:rFonts w:ascii="Times New Roman" w:hAnsi="Times New Roman" w:cs="Times New Roman"/>
          <w:bCs/>
          <w:lang w:val="sr-Cyrl-RS"/>
        </w:rPr>
        <w:t>;</w:t>
      </w:r>
      <w:bookmarkEnd w:id="5"/>
    </w:p>
    <w:p w14:paraId="45EC8AE4" w14:textId="77777777" w:rsidR="00EC2B76" w:rsidRPr="00771DAD" w:rsidRDefault="00EC2B76" w:rsidP="00EC2B76">
      <w:pPr>
        <w:spacing w:after="0" w:line="240" w:lineRule="auto"/>
        <w:rPr>
          <w:rFonts w:ascii="Times New Roman" w:hAnsi="Times New Roman" w:cs="Times New Roman"/>
          <w:bCs/>
          <w:lang w:val="sr-Cyrl-RS"/>
        </w:rPr>
      </w:pPr>
    </w:p>
    <w:p w14:paraId="448F399D" w14:textId="41D5E630" w:rsidR="00EA03C0" w:rsidRPr="00771DAD" w:rsidRDefault="00EA03C0" w:rsidP="00EC2B76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lang w:val="sr-Cyrl-RS"/>
        </w:rPr>
      </w:pPr>
      <w:r w:rsidRPr="00771DAD">
        <w:rPr>
          <w:rFonts w:ascii="Times New Roman" w:eastAsia="Times New Roman" w:hAnsi="Times New Roman" w:cs="Times New Roman"/>
          <w:lang w:val="sr-Cyrl-RS"/>
        </w:rPr>
        <w:t>9.</w:t>
      </w:r>
      <w:r w:rsidRPr="00771DAD">
        <w:rPr>
          <w:rFonts w:ascii="Times New Roman" w:hAnsi="Times New Roman" w:cs="Times New Roman"/>
          <w:color w:val="000000"/>
          <w:lang w:val="sr-Cyrl-RS"/>
        </w:rPr>
        <w:t xml:space="preserve"> Експлоатација подземних вода или обогаћивање подземних вода код којих је годишња запремина експлоатисане или обогаћене воде једнака количини од 10 милиона m³</w:t>
      </w:r>
      <w:r w:rsidRPr="00771DAD">
        <w:rPr>
          <w:rFonts w:ascii="Times New Roman" w:hAnsi="Times New Roman" w:cs="Times New Roman"/>
          <w:b/>
          <w:bCs/>
          <w:color w:val="000000"/>
          <w:lang w:val="sr-Cyrl-RS"/>
        </w:rPr>
        <w:t xml:space="preserve"> </w:t>
      </w:r>
      <w:r w:rsidRPr="00771DAD">
        <w:rPr>
          <w:rFonts w:ascii="Times New Roman" w:hAnsi="Times New Roman" w:cs="Times New Roman"/>
          <w:color w:val="000000"/>
          <w:lang w:val="sr-Cyrl-RS"/>
        </w:rPr>
        <w:t>или више;</w:t>
      </w:r>
    </w:p>
    <w:p w14:paraId="45A2028B" w14:textId="77777777" w:rsidR="00EA03C0" w:rsidRPr="00771DAD" w:rsidRDefault="00EA03C0" w:rsidP="00EA03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sr-Cyrl-RS"/>
        </w:rPr>
      </w:pPr>
    </w:p>
    <w:p w14:paraId="73486569" w14:textId="77777777" w:rsidR="00EA03C0" w:rsidRPr="00771DAD" w:rsidRDefault="00EA03C0" w:rsidP="00EC2B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lang w:val="sr-Cyrl-RS"/>
        </w:rPr>
      </w:pPr>
      <w:r w:rsidRPr="00771DAD">
        <w:rPr>
          <w:rFonts w:ascii="Times New Roman" w:hAnsi="Times New Roman" w:cs="Times New Roman"/>
          <w:color w:val="000000"/>
          <w:lang w:val="sr-Cyrl-RS"/>
        </w:rPr>
        <w:t xml:space="preserve">10. Објекти </w:t>
      </w:r>
      <w:r w:rsidRPr="00771DAD">
        <w:rPr>
          <w:rFonts w:ascii="Times New Roman" w:hAnsi="Times New Roman" w:cs="Times New Roman"/>
          <w:lang w:val="sr-Cyrl-RS"/>
        </w:rPr>
        <w:t xml:space="preserve">и </w:t>
      </w:r>
      <w:r w:rsidRPr="00771DAD">
        <w:rPr>
          <w:rFonts w:ascii="Times New Roman" w:eastAsia="Times New Roman" w:hAnsi="Times New Roman" w:cs="Times New Roman"/>
          <w:lang w:val="sr-Cyrl-RS"/>
        </w:rPr>
        <w:t>радови:</w:t>
      </w:r>
    </w:p>
    <w:p w14:paraId="0825D4BD" w14:textId="505C2EAD" w:rsidR="00EA03C0" w:rsidRPr="00771DAD" w:rsidRDefault="00EA03C0" w:rsidP="001F2E4C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 xml:space="preserve">1) за пребацивање вода између речних сливова, намењени спречавању могућих несташица воде код којих количина пребачене воде прелази 100 милиона m³ годишње </w:t>
      </w:r>
      <w:r w:rsidRPr="00771DAD">
        <w:rPr>
          <w:lang w:val="sr-Cyrl-RS"/>
        </w:rPr>
        <w:t>и више</w:t>
      </w:r>
      <w:r w:rsidR="003F59E6" w:rsidRPr="00771DAD">
        <w:rPr>
          <w:lang w:val="sr-Cyrl-RS"/>
        </w:rPr>
        <w:t>,</w:t>
      </w:r>
    </w:p>
    <w:p w14:paraId="11F1B169" w14:textId="7A7B3E9F" w:rsidR="00EA03C0" w:rsidRPr="00771DAD" w:rsidRDefault="00EA03C0" w:rsidP="001F2E4C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 xml:space="preserve">2) у свим другим случајевима, објекти </w:t>
      </w:r>
      <w:r w:rsidRPr="00771DAD">
        <w:rPr>
          <w:lang w:val="sr-Cyrl-RS"/>
        </w:rPr>
        <w:t>и радови</w:t>
      </w:r>
      <w:r w:rsidRPr="00771DAD">
        <w:rPr>
          <w:color w:val="FF0000"/>
          <w:lang w:val="sr-Cyrl-RS"/>
        </w:rPr>
        <w:t xml:space="preserve"> </w:t>
      </w:r>
      <w:r w:rsidRPr="00771DAD">
        <w:rPr>
          <w:color w:val="000000"/>
          <w:lang w:val="sr-Cyrl-RS"/>
        </w:rPr>
        <w:t>намењени за пребацивање вода између речних сливова код којих вишегодишњи просек протока у сливу из ког се вода захвата прелази 2.000 милиона m³ годишње и где количина пребачене воде прелази 5% од овог протока, осим у случају преноса воде за пиће цевоводима;</w:t>
      </w:r>
    </w:p>
    <w:p w14:paraId="002FD37A" w14:textId="77777777" w:rsidR="00EA03C0" w:rsidRPr="00771DAD" w:rsidRDefault="00EA03C0" w:rsidP="00EA03C0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/>
          <w:lang w:val="sr-Cyrl-RS"/>
        </w:rPr>
      </w:pPr>
    </w:p>
    <w:p w14:paraId="45D0A9FD" w14:textId="77777777" w:rsidR="00EA03C0" w:rsidRPr="00771DAD" w:rsidRDefault="00EA03C0" w:rsidP="001F2E4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noProof/>
          <w:lang w:val="sr-Cyrl-RS"/>
        </w:rPr>
      </w:pPr>
      <w:r w:rsidRPr="00771DAD">
        <w:rPr>
          <w:rFonts w:ascii="Times New Roman" w:hAnsi="Times New Roman" w:cs="Times New Roman"/>
          <w:color w:val="000000"/>
          <w:lang w:val="sr-Cyrl-RS"/>
        </w:rPr>
        <w:t xml:space="preserve">11. Постројења за пречишћавање отпадних вода у насељима преко 100.000 </w:t>
      </w:r>
      <w:r w:rsidRPr="00771DAD">
        <w:rPr>
          <w:rFonts w:ascii="Times New Roman" w:hAnsi="Times New Roman" w:cs="Times New Roman"/>
          <w:lang w:val="sr-Cyrl-RS"/>
        </w:rPr>
        <w:t xml:space="preserve">еквивалент </w:t>
      </w:r>
      <w:r w:rsidRPr="00771DAD">
        <w:rPr>
          <w:rFonts w:ascii="Times New Roman" w:hAnsi="Times New Roman" w:cs="Times New Roman"/>
          <w:color w:val="000000"/>
          <w:lang w:val="sr-Cyrl-RS"/>
        </w:rPr>
        <w:t>становника;</w:t>
      </w:r>
    </w:p>
    <w:p w14:paraId="7116315D" w14:textId="77777777" w:rsidR="00EA03C0" w:rsidRPr="00771DAD" w:rsidRDefault="00EA03C0" w:rsidP="00EA03C0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/>
          <w:lang w:val="sr-Cyrl-RS"/>
        </w:rPr>
      </w:pPr>
    </w:p>
    <w:p w14:paraId="7B70BEEF" w14:textId="40DF430B" w:rsidR="00EA03C0" w:rsidRPr="00771DAD" w:rsidRDefault="00EA03C0" w:rsidP="00195AE7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>12. Бране и други објекти намењени задржавању и акумулацији воде код којих вода која дотиче, или додатно задржана, или акумулирана вода прелази количину од 10 милиона m³;   </w:t>
      </w:r>
    </w:p>
    <w:p w14:paraId="501BE05A" w14:textId="77777777" w:rsidR="00195AE7" w:rsidRPr="00771DAD" w:rsidRDefault="00195AE7" w:rsidP="00195AE7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</w:p>
    <w:p w14:paraId="21CC59A0" w14:textId="126981ED" w:rsidR="00EA03C0" w:rsidRPr="00771DAD" w:rsidRDefault="00EA03C0" w:rsidP="00195AE7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> </w:t>
      </w:r>
      <w:r w:rsidR="00195AE7" w:rsidRPr="00771DAD">
        <w:rPr>
          <w:color w:val="000000"/>
          <w:lang w:val="sr-Cyrl-RS"/>
        </w:rPr>
        <w:tab/>
      </w:r>
      <w:r w:rsidRPr="00771DAD">
        <w:rPr>
          <w:lang w:val="sr-Cyrl-RS"/>
        </w:rPr>
        <w:t>13. Цевоводи пречника већег од 800 mm и дужине која прелази 40 km за:</w:t>
      </w:r>
      <w:r w:rsidRPr="00771DAD">
        <w:rPr>
          <w:color w:val="FF0000"/>
          <w:lang w:val="sr-Cyrl-RS"/>
        </w:rPr>
        <w:t xml:space="preserve"> </w:t>
      </w:r>
    </w:p>
    <w:p w14:paraId="3770FDF0" w14:textId="34186ECC" w:rsidR="00EA03C0" w:rsidRPr="00771DAD" w:rsidRDefault="00EA03C0" w:rsidP="00195A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lang w:val="sr-Cyrl-RS"/>
        </w:rPr>
      </w:pPr>
      <w:r w:rsidRPr="00771DAD">
        <w:rPr>
          <w:rFonts w:ascii="Times New Roman" w:eastAsia="Times New Roman" w:hAnsi="Times New Roman" w:cs="Times New Roman"/>
          <w:lang w:val="sr-Cyrl-RS"/>
        </w:rPr>
        <w:t xml:space="preserve">1) </w:t>
      </w:r>
      <w:bookmarkStart w:id="6" w:name="_Hlk192591302"/>
      <w:r w:rsidRPr="00771DAD">
        <w:rPr>
          <w:rFonts w:ascii="Times New Roman" w:eastAsia="Times New Roman" w:hAnsi="Times New Roman" w:cs="Times New Roman"/>
          <w:lang w:val="sr-Cyrl-RS"/>
        </w:rPr>
        <w:t>транспорт гаса, течног гаса, нафте и нафтних деривата или хемикалија</w:t>
      </w:r>
      <w:bookmarkEnd w:id="6"/>
      <w:r w:rsidR="00195AE7" w:rsidRPr="00771DAD">
        <w:rPr>
          <w:rFonts w:ascii="Times New Roman" w:eastAsia="Times New Roman" w:hAnsi="Times New Roman" w:cs="Times New Roman"/>
          <w:lang w:val="sr-Cyrl-RS"/>
        </w:rPr>
        <w:t>,</w:t>
      </w:r>
    </w:p>
    <w:p w14:paraId="6DF6AB3E" w14:textId="5AFBB9FE" w:rsidR="00EA03C0" w:rsidRPr="00771DAD" w:rsidRDefault="00EA03C0" w:rsidP="00195AE7">
      <w:pPr>
        <w:spacing w:after="0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771DAD">
        <w:rPr>
          <w:rFonts w:ascii="Times New Roman" w:eastAsia="Times New Roman" w:hAnsi="Times New Roman" w:cs="Times New Roman"/>
          <w:lang w:val="sr-Cyrl-RS"/>
        </w:rPr>
        <w:t>2) транспорт угљен-диоксида (CO</w:t>
      </w:r>
      <w:r w:rsidRPr="00771DAD">
        <w:rPr>
          <w:rFonts w:ascii="Times New Roman" w:eastAsia="Times New Roman" w:hAnsi="Times New Roman" w:cs="Times New Roman"/>
          <w:vertAlign w:val="subscript"/>
          <w:lang w:val="sr-Cyrl-RS"/>
        </w:rPr>
        <w:t>2</w:t>
      </w:r>
      <w:r w:rsidRPr="00771DAD">
        <w:rPr>
          <w:rFonts w:ascii="Times New Roman" w:eastAsia="Times New Roman" w:hAnsi="Times New Roman" w:cs="Times New Roman"/>
          <w:lang w:val="sr-Cyrl-RS"/>
        </w:rPr>
        <w:t>) ради геолошког складиштења, укључујући повезане компресорске станице;</w:t>
      </w:r>
    </w:p>
    <w:p w14:paraId="2B145439" w14:textId="77777777" w:rsidR="00EA03C0" w:rsidRPr="00771DAD" w:rsidRDefault="00EA03C0" w:rsidP="00195AE7">
      <w:pPr>
        <w:spacing w:after="0"/>
        <w:jc w:val="both"/>
        <w:rPr>
          <w:rFonts w:ascii="Times New Roman" w:eastAsia="Times New Roman" w:hAnsi="Times New Roman" w:cs="Times New Roman"/>
          <w:color w:val="FF0000"/>
          <w:lang w:val="sr-Cyrl-RS"/>
        </w:rPr>
      </w:pPr>
    </w:p>
    <w:p w14:paraId="45EFDB5C" w14:textId="77777777" w:rsidR="00EA03C0" w:rsidRPr="00771DAD" w:rsidRDefault="00EA03C0" w:rsidP="00195AE7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lang w:val="sr-Cyrl-RS"/>
        </w:rPr>
        <w:t xml:space="preserve">14. </w:t>
      </w:r>
      <w:r w:rsidRPr="00771DAD">
        <w:rPr>
          <w:color w:val="000000"/>
          <w:lang w:val="sr-Cyrl-RS"/>
        </w:rPr>
        <w:t>Објекти за интензиван узгој живине или свиња са капацитетом преко:</w:t>
      </w:r>
    </w:p>
    <w:p w14:paraId="49ECB20A" w14:textId="68DD02AC" w:rsidR="00EA03C0" w:rsidRPr="00771DAD" w:rsidRDefault="00EA03C0" w:rsidP="00195AE7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>1) 85.000 места за произв</w:t>
      </w:r>
      <w:r w:rsidR="00771DAD">
        <w:rPr>
          <w:color w:val="000000"/>
          <w:lang w:val="sr-Cyrl-RS"/>
        </w:rPr>
        <w:t>о</w:t>
      </w:r>
      <w:r w:rsidR="003231FE" w:rsidRPr="00771DAD">
        <w:rPr>
          <w:color w:val="000000"/>
          <w:lang w:val="sr-Cyrl-RS"/>
        </w:rPr>
        <w:t>д</w:t>
      </w:r>
      <w:r w:rsidRPr="00771DAD">
        <w:rPr>
          <w:color w:val="000000"/>
          <w:lang w:val="sr-Cyrl-RS"/>
        </w:rPr>
        <w:t>њу товних пилића (бројлера)</w:t>
      </w:r>
      <w:r w:rsidR="00195AE7" w:rsidRPr="00771DAD">
        <w:rPr>
          <w:color w:val="000000"/>
          <w:lang w:val="sr-Cyrl-RS"/>
        </w:rPr>
        <w:t>,</w:t>
      </w:r>
    </w:p>
    <w:p w14:paraId="28AD6C0E" w14:textId="44658BB6" w:rsidR="00EA03C0" w:rsidRPr="00771DAD" w:rsidRDefault="00EA03C0" w:rsidP="00195AE7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 xml:space="preserve">2) 40.000 места за </w:t>
      </w:r>
      <w:r w:rsidR="00195AE7" w:rsidRPr="00771DAD">
        <w:rPr>
          <w:color w:val="000000"/>
          <w:lang w:val="sr-Cyrl-RS"/>
        </w:rPr>
        <w:t>живину у узгоју и експлоатацији,</w:t>
      </w:r>
    </w:p>
    <w:p w14:paraId="2FAA62BC" w14:textId="23806589" w:rsidR="00EA03C0" w:rsidRPr="00771DAD" w:rsidRDefault="00EA03C0" w:rsidP="00195AE7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>3) 2.000 места за производњу свиња (преко 30 kg</w:t>
      </w:r>
      <w:r w:rsidR="00195AE7" w:rsidRPr="00771DAD">
        <w:rPr>
          <w:color w:val="000000"/>
          <w:lang w:val="sr-Cyrl-RS"/>
        </w:rPr>
        <w:t xml:space="preserve"> тежине),</w:t>
      </w:r>
    </w:p>
    <w:p w14:paraId="62F0280D" w14:textId="4C26907B" w:rsidR="00EA03C0" w:rsidRPr="00771DAD" w:rsidRDefault="00EA03C0" w:rsidP="00195AE7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>4) 750 места за крмаче;</w:t>
      </w:r>
    </w:p>
    <w:p w14:paraId="4ABD1A68" w14:textId="77777777" w:rsidR="00195AE7" w:rsidRPr="00771DAD" w:rsidRDefault="00195AE7" w:rsidP="00EA03C0">
      <w:pPr>
        <w:pStyle w:val="Normal1"/>
        <w:shd w:val="clear" w:color="auto" w:fill="FFFFFF"/>
        <w:spacing w:before="0" w:beforeAutospacing="0" w:after="0" w:afterAutospacing="0"/>
        <w:jc w:val="both"/>
        <w:rPr>
          <w:color w:val="000000"/>
          <w:lang w:val="sr-Cyrl-RS"/>
        </w:rPr>
      </w:pPr>
    </w:p>
    <w:p w14:paraId="0BE52BC0" w14:textId="179F0630" w:rsidR="00EA03C0" w:rsidRPr="00771DAD" w:rsidRDefault="00EA03C0" w:rsidP="00195AE7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>15. Постројења за:</w:t>
      </w:r>
    </w:p>
    <w:p w14:paraId="3D62BF66" w14:textId="276710BA" w:rsidR="00EA03C0" w:rsidRPr="00771DAD" w:rsidRDefault="00EA03C0" w:rsidP="00195AE7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>1) производњу целулозе из дрвне масе, сламе ил</w:t>
      </w:r>
      <w:r w:rsidR="009A0542" w:rsidRPr="00771DAD">
        <w:rPr>
          <w:color w:val="000000"/>
          <w:lang w:val="sr-Cyrl-RS"/>
        </w:rPr>
        <w:t>и сличних влакнастих материјала,</w:t>
      </w:r>
    </w:p>
    <w:p w14:paraId="3B2F7D2D" w14:textId="06F3F79A" w:rsidR="00EA03C0" w:rsidRPr="00771DAD" w:rsidRDefault="00EA03C0" w:rsidP="00195AE7">
      <w:pPr>
        <w:spacing w:after="0"/>
        <w:ind w:firstLine="720"/>
        <w:jc w:val="both"/>
        <w:rPr>
          <w:rFonts w:ascii="Times New Roman" w:hAnsi="Times New Roman" w:cs="Times New Roman"/>
          <w:color w:val="000000"/>
          <w:lang w:val="sr-Cyrl-RS"/>
        </w:rPr>
      </w:pPr>
      <w:r w:rsidRPr="00771DAD">
        <w:rPr>
          <w:rFonts w:ascii="Times New Roman" w:hAnsi="Times New Roman" w:cs="Times New Roman"/>
          <w:color w:val="000000"/>
          <w:lang w:val="sr-Cyrl-RS"/>
        </w:rPr>
        <w:t>2) производњу папира и картона са производним капацитетом који прелази 20 t</w:t>
      </w:r>
      <w:r w:rsidR="009A0542" w:rsidRPr="00771DAD">
        <w:rPr>
          <w:rFonts w:ascii="Times New Roman" w:hAnsi="Times New Roman" w:cs="Times New Roman"/>
          <w:color w:val="000000"/>
          <w:lang w:val="sr-Cyrl-RS"/>
        </w:rPr>
        <w:t>/дан,</w:t>
      </w:r>
    </w:p>
    <w:p w14:paraId="22BC327A" w14:textId="14CA025E" w:rsidR="00EA03C0" w:rsidRPr="00771DAD" w:rsidRDefault="00EA03C0" w:rsidP="00195AE7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 w:rsidRPr="00771DAD">
        <w:rPr>
          <w:rFonts w:ascii="Times New Roman" w:hAnsi="Times New Roman" w:cs="Times New Roman"/>
          <w:lang w:val="sr-Cyrl-RS"/>
        </w:rPr>
        <w:t>3) пр</w:t>
      </w:r>
      <w:r w:rsidR="003F11DA" w:rsidRPr="00771DAD">
        <w:rPr>
          <w:rFonts w:ascii="Times New Roman" w:hAnsi="Times New Roman" w:cs="Times New Roman"/>
          <w:lang w:val="sr-Cyrl-RS"/>
        </w:rPr>
        <w:t>о</w:t>
      </w:r>
      <w:r w:rsidRPr="00771DAD">
        <w:rPr>
          <w:rFonts w:ascii="Times New Roman" w:hAnsi="Times New Roman" w:cs="Times New Roman"/>
          <w:lang w:val="sr-Cyrl-RS"/>
        </w:rPr>
        <w:t>изводњу панела од дрвета (лесонит (ХДФ плоче), медијапан (М</w:t>
      </w:r>
      <w:r w:rsidR="00D52710" w:rsidRPr="00771DAD">
        <w:rPr>
          <w:rFonts w:ascii="Times New Roman" w:hAnsi="Times New Roman" w:cs="Times New Roman"/>
          <w:lang w:val="sr-Cyrl-RS"/>
        </w:rPr>
        <w:t xml:space="preserve">ДФ плоче), ламинат (ХЛФ плоче) </w:t>
      </w:r>
      <w:r w:rsidRPr="00771DAD">
        <w:rPr>
          <w:rFonts w:ascii="Times New Roman" w:hAnsi="Times New Roman" w:cs="Times New Roman"/>
          <w:lang w:val="sr-Cyrl-RS"/>
        </w:rPr>
        <w:t>универ плоче, плоче од уздужно полагане иверице (ОСБ плоче), плоче иверице и друге плоче од влакнастих материјала) производног капацитета 600 m³ на дан и више;</w:t>
      </w:r>
      <w:r w:rsidRPr="00771DAD">
        <w:rPr>
          <w:rFonts w:ascii="Times New Roman" w:hAnsi="Times New Roman" w:cs="Times New Roman"/>
          <w:b/>
          <w:bCs/>
          <w:lang w:val="sr-Cyrl-RS"/>
        </w:rPr>
        <w:t xml:space="preserve"> </w:t>
      </w:r>
    </w:p>
    <w:p w14:paraId="28E92F17" w14:textId="77777777" w:rsidR="00EA03C0" w:rsidRPr="00771DAD" w:rsidRDefault="00EA03C0" w:rsidP="00EA03C0">
      <w:pPr>
        <w:spacing w:after="0"/>
        <w:rPr>
          <w:rFonts w:ascii="Times New Roman" w:hAnsi="Times New Roman" w:cs="Times New Roman"/>
          <w:color w:val="000000"/>
          <w:lang w:val="sr-Cyrl-RS"/>
        </w:rPr>
      </w:pPr>
    </w:p>
    <w:p w14:paraId="14C044BF" w14:textId="7F7EC940" w:rsidR="00EA03C0" w:rsidRPr="00771DAD" w:rsidRDefault="00EA03C0" w:rsidP="006F2421">
      <w:pPr>
        <w:spacing w:after="0"/>
        <w:ind w:firstLine="720"/>
        <w:jc w:val="both"/>
        <w:rPr>
          <w:rFonts w:ascii="Times New Roman" w:hAnsi="Times New Roman" w:cs="Times New Roman"/>
          <w:lang w:val="sr-Cyrl-RS"/>
        </w:rPr>
      </w:pPr>
      <w:r w:rsidRPr="00771DAD">
        <w:rPr>
          <w:rFonts w:ascii="Times New Roman" w:hAnsi="Times New Roman" w:cs="Times New Roman"/>
          <w:lang w:val="sr-Cyrl-RS"/>
        </w:rPr>
        <w:t>16. Експлоатација (подземна</w:t>
      </w:r>
      <w:r w:rsidR="00AE101F" w:rsidRPr="00771DAD">
        <w:rPr>
          <w:rFonts w:ascii="Times New Roman" w:hAnsi="Times New Roman" w:cs="Times New Roman"/>
          <w:lang w:val="sr-Cyrl-RS"/>
        </w:rPr>
        <w:t>,</w:t>
      </w:r>
      <w:r w:rsidRPr="00771DAD">
        <w:rPr>
          <w:rFonts w:ascii="Times New Roman" w:hAnsi="Times New Roman" w:cs="Times New Roman"/>
          <w:lang w:val="sr-Cyrl-RS"/>
        </w:rPr>
        <w:t xml:space="preserve"> надземна</w:t>
      </w:r>
      <w:r w:rsidR="00AE101F" w:rsidRPr="00771DAD">
        <w:rPr>
          <w:rFonts w:ascii="Times New Roman" w:hAnsi="Times New Roman" w:cs="Times New Roman"/>
          <w:lang w:val="sr-Cyrl-RS"/>
        </w:rPr>
        <w:t>, подводна, бушотинска и др</w:t>
      </w:r>
      <w:r w:rsidRPr="00771DAD">
        <w:rPr>
          <w:rFonts w:ascii="Times New Roman" w:hAnsi="Times New Roman" w:cs="Times New Roman"/>
          <w:lang w:val="sr-Cyrl-RS"/>
        </w:rPr>
        <w:t>) м</w:t>
      </w:r>
      <w:r w:rsidR="00AE101F" w:rsidRPr="00771DAD">
        <w:rPr>
          <w:rFonts w:ascii="Times New Roman" w:hAnsi="Times New Roman" w:cs="Times New Roman"/>
          <w:lang w:val="sr-Cyrl-RS"/>
        </w:rPr>
        <w:t xml:space="preserve">еталичних,  неметаличних </w:t>
      </w:r>
      <w:r w:rsidRPr="00771DAD">
        <w:rPr>
          <w:rFonts w:ascii="Times New Roman" w:hAnsi="Times New Roman" w:cs="Times New Roman"/>
          <w:lang w:val="sr-Cyrl-RS"/>
        </w:rPr>
        <w:t>и</w:t>
      </w:r>
      <w:r w:rsidR="00AE101F" w:rsidRPr="00771DAD">
        <w:rPr>
          <w:rFonts w:ascii="Times New Roman" w:hAnsi="Times New Roman" w:cs="Times New Roman"/>
          <w:lang w:val="sr-Cyrl-RS"/>
        </w:rPr>
        <w:t xml:space="preserve"> енергетских ми</w:t>
      </w:r>
      <w:r w:rsidRPr="00771DAD">
        <w:rPr>
          <w:rFonts w:ascii="Times New Roman" w:hAnsi="Times New Roman" w:cs="Times New Roman"/>
          <w:lang w:val="sr-Cyrl-RS"/>
        </w:rPr>
        <w:t>нералних сировина</w:t>
      </w:r>
      <w:r w:rsidR="00AE101F" w:rsidRPr="00771DAD">
        <w:rPr>
          <w:rFonts w:ascii="Times New Roman" w:hAnsi="Times New Roman" w:cs="Times New Roman"/>
          <w:lang w:val="sr-Cyrl-RS"/>
        </w:rPr>
        <w:t xml:space="preserve">, изузев експлоатације тресета </w:t>
      </w:r>
      <w:r w:rsidR="00283B6E" w:rsidRPr="00771DAD">
        <w:rPr>
          <w:rFonts w:ascii="Times New Roman" w:hAnsi="Times New Roman" w:cs="Times New Roman"/>
          <w:lang w:val="sr-Cyrl-RS"/>
        </w:rPr>
        <w:t>на површини до 10 ha и експлоатације песка и шљунка поступком речног и језерског багеровања</w:t>
      </w:r>
      <w:r w:rsidR="006F2421" w:rsidRPr="00771DAD">
        <w:rPr>
          <w:rFonts w:ascii="Times New Roman" w:hAnsi="Times New Roman" w:cs="Times New Roman"/>
          <w:color w:val="000000"/>
          <w:lang w:val="sr-Cyrl-RS"/>
        </w:rPr>
        <w:t>;</w:t>
      </w:r>
    </w:p>
    <w:p w14:paraId="7B7873B7" w14:textId="42BC23BA" w:rsidR="00C31229" w:rsidRPr="00771DAD" w:rsidRDefault="00EA03C0" w:rsidP="00C31229">
      <w:pPr>
        <w:pStyle w:val="Normal1"/>
        <w:shd w:val="clear" w:color="auto" w:fill="FFFFFF"/>
        <w:ind w:firstLine="720"/>
        <w:jc w:val="both"/>
        <w:rPr>
          <w:lang w:val="sr-Cyrl-RS"/>
        </w:rPr>
      </w:pPr>
      <w:r w:rsidRPr="00771DAD">
        <w:rPr>
          <w:lang w:val="sr-Cyrl-RS"/>
        </w:rPr>
        <w:t>17.</w:t>
      </w:r>
      <w:r w:rsidRPr="00771DAD">
        <w:rPr>
          <w:color w:val="FF0000"/>
          <w:lang w:val="sr-Cyrl-RS"/>
        </w:rPr>
        <w:t xml:space="preserve"> </w:t>
      </w:r>
      <w:r w:rsidR="00C31229" w:rsidRPr="00771DAD">
        <w:rPr>
          <w:lang w:val="sr-Cyrl-RS"/>
        </w:rPr>
        <w:t>Постројења за припрему (обогаћивање) минералних сировина; дробилице, млинови, флотацијска постројења;</w:t>
      </w:r>
    </w:p>
    <w:p w14:paraId="428710F0" w14:textId="764A92DB" w:rsidR="00EA03C0" w:rsidRPr="00771DAD" w:rsidRDefault="00C31229" w:rsidP="009A0542">
      <w:pPr>
        <w:pStyle w:val="Normal1"/>
        <w:shd w:val="clear" w:color="auto" w:fill="FFFFFF"/>
        <w:ind w:firstLine="720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 xml:space="preserve">18. </w:t>
      </w:r>
      <w:r w:rsidR="00EA03C0" w:rsidRPr="00771DAD">
        <w:rPr>
          <w:color w:val="000000"/>
          <w:lang w:val="sr-Cyrl-RS"/>
        </w:rPr>
        <w:t>Изградња кабловских и надземних далековода напонског нивоа 220 kV или више;</w:t>
      </w:r>
    </w:p>
    <w:p w14:paraId="52A1A6F2" w14:textId="15082859" w:rsidR="00EA03C0" w:rsidRPr="00771DAD" w:rsidRDefault="00EA03C0" w:rsidP="00F65A8E">
      <w:pPr>
        <w:pStyle w:val="Normal1"/>
        <w:shd w:val="clear" w:color="auto" w:fill="FFFFFF"/>
        <w:ind w:firstLine="720"/>
        <w:jc w:val="both"/>
        <w:rPr>
          <w:color w:val="000000"/>
          <w:lang w:val="sr-Cyrl-RS"/>
        </w:rPr>
      </w:pPr>
      <w:r w:rsidRPr="00771DAD">
        <w:rPr>
          <w:color w:val="000000"/>
          <w:lang w:val="sr-Cyrl-RS"/>
        </w:rPr>
        <w:t>1</w:t>
      </w:r>
      <w:r w:rsidR="00D150F7" w:rsidRPr="00771DAD">
        <w:rPr>
          <w:color w:val="000000"/>
          <w:lang w:val="sr-Cyrl-RS"/>
        </w:rPr>
        <w:t>9</w:t>
      </w:r>
      <w:r w:rsidRPr="00771DAD">
        <w:rPr>
          <w:color w:val="000000"/>
          <w:lang w:val="sr-Cyrl-RS"/>
        </w:rPr>
        <w:t>. Објекти намењени складиштењу нафте, земног гаса, запаљивих течности и гасова чији капацитет износи 50.000 m</w:t>
      </w:r>
      <w:r w:rsidRPr="00771DAD">
        <w:rPr>
          <w:color w:val="000000"/>
          <w:vertAlign w:val="superscript"/>
          <w:lang w:val="sr-Cyrl-RS"/>
        </w:rPr>
        <w:t xml:space="preserve">3 </w:t>
      </w:r>
      <w:r w:rsidRPr="00771DAD">
        <w:rPr>
          <w:color w:val="000000"/>
          <w:lang w:val="sr-Cyrl-RS"/>
        </w:rPr>
        <w:t xml:space="preserve">или више, чврстог горива чији капацитет износи 100.000 </w:t>
      </w:r>
      <w:r w:rsidRPr="00771DAD">
        <w:rPr>
          <w:lang w:val="sr-Cyrl-RS"/>
        </w:rPr>
        <w:t>t</w:t>
      </w:r>
      <w:r w:rsidRPr="00771DAD">
        <w:rPr>
          <w:color w:val="000000"/>
          <w:lang w:val="sr-Cyrl-RS"/>
        </w:rPr>
        <w:t xml:space="preserve"> или више и петрохемијских или хемијских производа чији капацитет износи 10.000 m</w:t>
      </w:r>
      <w:r w:rsidRPr="00771DAD">
        <w:rPr>
          <w:color w:val="000000"/>
          <w:vertAlign w:val="superscript"/>
          <w:lang w:val="sr-Cyrl-RS"/>
        </w:rPr>
        <w:t>3</w:t>
      </w:r>
      <w:r w:rsidRPr="00771DAD">
        <w:rPr>
          <w:color w:val="000000"/>
          <w:lang w:val="sr-Cyrl-RS"/>
        </w:rPr>
        <w:t xml:space="preserve"> или више;</w:t>
      </w:r>
    </w:p>
    <w:p w14:paraId="1E8E7100" w14:textId="1745F76A" w:rsidR="00EA03C0" w:rsidRPr="00771DAD" w:rsidRDefault="00D150F7" w:rsidP="00F65A8E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771DAD">
        <w:rPr>
          <w:rFonts w:ascii="Times New Roman" w:eastAsia="Times New Roman" w:hAnsi="Times New Roman" w:cs="Times New Roman"/>
          <w:lang w:val="sr-Cyrl-RS"/>
        </w:rPr>
        <w:t>20</w:t>
      </w:r>
      <w:r w:rsidR="00EA03C0" w:rsidRPr="00771DAD">
        <w:rPr>
          <w:rFonts w:ascii="Times New Roman" w:eastAsia="Times New Roman" w:hAnsi="Times New Roman" w:cs="Times New Roman"/>
          <w:lang w:val="sr-Cyrl-RS"/>
        </w:rPr>
        <w:t>. Постројења за заробљавање токова угљен-диоксида (CO</w:t>
      </w:r>
      <w:r w:rsidR="00EA03C0" w:rsidRPr="00771DAD">
        <w:rPr>
          <w:rFonts w:ascii="Times New Roman" w:eastAsia="Times New Roman" w:hAnsi="Times New Roman" w:cs="Times New Roman"/>
          <w:vertAlign w:val="subscript"/>
          <w:lang w:val="sr-Cyrl-RS"/>
        </w:rPr>
        <w:t>2</w:t>
      </w:r>
      <w:r w:rsidR="00EA03C0" w:rsidRPr="00771DAD">
        <w:rPr>
          <w:rFonts w:ascii="Times New Roman" w:eastAsia="Times New Roman" w:hAnsi="Times New Roman" w:cs="Times New Roman"/>
          <w:lang w:val="sr-Cyrl-RS"/>
        </w:rPr>
        <w:t>) ради геолошког складиштења из постројења обухваћених овом листом, или ако је укупна количина заробљеног угљен-диоксида 1,5 мегатона годишње или више;</w:t>
      </w:r>
    </w:p>
    <w:p w14:paraId="5991D3BB" w14:textId="4A42CDEB" w:rsidR="00EA03C0" w:rsidRPr="00771DAD" w:rsidRDefault="00EA03C0" w:rsidP="001411B4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771DAD">
        <w:rPr>
          <w:rFonts w:ascii="Times New Roman" w:eastAsia="Times New Roman" w:hAnsi="Times New Roman" w:cs="Times New Roman"/>
          <w:lang w:val="sr-Cyrl-RS"/>
        </w:rPr>
        <w:lastRenderedPageBreak/>
        <w:t>2</w:t>
      </w:r>
      <w:r w:rsidR="00D150F7" w:rsidRPr="00771DAD">
        <w:rPr>
          <w:rFonts w:ascii="Times New Roman" w:eastAsia="Times New Roman" w:hAnsi="Times New Roman" w:cs="Times New Roman"/>
          <w:lang w:val="sr-Cyrl-RS"/>
        </w:rPr>
        <w:t>1</w:t>
      </w:r>
      <w:r w:rsidRPr="00771DAD">
        <w:rPr>
          <w:rFonts w:ascii="Times New Roman" w:eastAsia="Times New Roman" w:hAnsi="Times New Roman" w:cs="Times New Roman"/>
          <w:lang w:val="sr-Cyrl-RS"/>
        </w:rPr>
        <w:t>. Геолошко складиштење угљен-диоксида (CO</w:t>
      </w:r>
      <w:r w:rsidRPr="00771DAD">
        <w:rPr>
          <w:rFonts w:ascii="Times New Roman" w:eastAsia="Times New Roman" w:hAnsi="Times New Roman" w:cs="Times New Roman"/>
          <w:vertAlign w:val="subscript"/>
          <w:lang w:val="sr-Cyrl-RS"/>
        </w:rPr>
        <w:t>2</w:t>
      </w:r>
      <w:r w:rsidRPr="00771DAD">
        <w:rPr>
          <w:rFonts w:ascii="Times New Roman" w:eastAsia="Times New Roman" w:hAnsi="Times New Roman" w:cs="Times New Roman"/>
          <w:lang w:val="sr-Cyrl-RS"/>
        </w:rPr>
        <w:t>);</w:t>
      </w:r>
    </w:p>
    <w:p w14:paraId="5E1AECDC" w14:textId="2C75D83B" w:rsidR="00270002" w:rsidRPr="00771DAD" w:rsidRDefault="00EA03C0" w:rsidP="001411B4">
      <w:pPr>
        <w:pStyle w:val="Normal1"/>
        <w:shd w:val="clear" w:color="auto" w:fill="FFFFFF"/>
        <w:ind w:firstLine="720"/>
        <w:jc w:val="both"/>
        <w:rPr>
          <w:color w:val="000000"/>
          <w:lang w:val="sr-Cyrl-RS"/>
        </w:rPr>
      </w:pPr>
      <w:r w:rsidRPr="00771DAD">
        <w:rPr>
          <w:lang w:val="sr-Cyrl-RS"/>
        </w:rPr>
        <w:t>2</w:t>
      </w:r>
      <w:r w:rsidR="00AC7506" w:rsidRPr="00771DAD">
        <w:rPr>
          <w:lang w:val="sr-Cyrl-RS"/>
        </w:rPr>
        <w:t>2</w:t>
      </w:r>
      <w:r w:rsidRPr="00771DAD">
        <w:rPr>
          <w:lang w:val="sr-Cyrl-RS"/>
        </w:rPr>
        <w:t xml:space="preserve">. </w:t>
      </w:r>
      <w:r w:rsidRPr="00771DAD">
        <w:rPr>
          <w:color w:val="000000"/>
          <w:lang w:val="sr-Cyrl-RS"/>
        </w:rPr>
        <w:t xml:space="preserve">Активности и постројења за које се </w:t>
      </w:r>
      <w:r w:rsidRPr="00771DAD">
        <w:rPr>
          <w:lang w:val="sr-Cyrl-RS"/>
        </w:rPr>
        <w:t xml:space="preserve">према прописима </w:t>
      </w:r>
      <w:bookmarkStart w:id="7" w:name="_Hlk192592441"/>
      <w:r w:rsidRPr="00771DAD">
        <w:rPr>
          <w:lang w:val="sr-Cyrl-RS"/>
        </w:rPr>
        <w:t>којима се уређује интегрисано спречавање и контрола загађивања животне средине</w:t>
      </w:r>
      <w:bookmarkEnd w:id="7"/>
      <w:r w:rsidRPr="00771DAD">
        <w:rPr>
          <w:color w:val="000000"/>
          <w:lang w:val="sr-Cyrl-RS"/>
        </w:rPr>
        <w:t xml:space="preserve"> издаје интегрисана дозвола:</w:t>
      </w:r>
    </w:p>
    <w:p w14:paraId="59735DDD" w14:textId="7B645392" w:rsidR="00270002" w:rsidRPr="00771DAD" w:rsidRDefault="00EA03C0" w:rsidP="00270002">
      <w:pPr>
        <w:pStyle w:val="Normal1"/>
        <w:shd w:val="clear" w:color="auto" w:fill="FFFFFF"/>
        <w:ind w:firstLine="720"/>
        <w:jc w:val="both"/>
        <w:rPr>
          <w:lang w:val="sr-Cyrl-RS"/>
        </w:rPr>
      </w:pPr>
      <w:r w:rsidRPr="00771DAD">
        <w:rPr>
          <w:lang w:val="sr-Cyrl-RS"/>
        </w:rPr>
        <w:t>1) постројења за производњу стакла и стаклених влакана, укључујући производњу стакла које се добија прерадом старог стакла капацитета преко 20 t на дан</w:t>
      </w:r>
      <w:r w:rsidR="00737FEC" w:rsidRPr="00771DAD">
        <w:rPr>
          <w:lang w:val="sr-Cyrl-RS"/>
        </w:rPr>
        <w:t>,</w:t>
      </w:r>
    </w:p>
    <w:p w14:paraId="522236EC" w14:textId="298395DD" w:rsidR="00270002" w:rsidRPr="00771DAD" w:rsidRDefault="00EA03C0" w:rsidP="00270002">
      <w:pPr>
        <w:pStyle w:val="Normal1"/>
        <w:shd w:val="clear" w:color="auto" w:fill="FFFFFF"/>
        <w:ind w:firstLine="720"/>
        <w:jc w:val="both"/>
        <w:rPr>
          <w:lang w:val="sr-Cyrl-RS"/>
        </w:rPr>
      </w:pPr>
      <w:r w:rsidRPr="00771DAD">
        <w:rPr>
          <w:lang w:val="sr-Cyrl-RS"/>
        </w:rPr>
        <w:t>2) постројења за топљење минералних материја, укључујући и производњу минералних влакана капацитета преко 20 t на дан</w:t>
      </w:r>
      <w:r w:rsidR="00737FEC" w:rsidRPr="00771DAD">
        <w:rPr>
          <w:lang w:val="sr-Cyrl-RS"/>
        </w:rPr>
        <w:t>,</w:t>
      </w:r>
    </w:p>
    <w:p w14:paraId="5F814D9F" w14:textId="7CA9626F" w:rsidR="00270002" w:rsidRPr="00771DAD" w:rsidRDefault="00EA03C0" w:rsidP="00270002">
      <w:pPr>
        <w:pStyle w:val="Normal1"/>
        <w:shd w:val="clear" w:color="auto" w:fill="FFFFFF"/>
        <w:ind w:firstLine="720"/>
        <w:jc w:val="both"/>
        <w:rPr>
          <w:lang w:val="sr-Cyrl-RS"/>
        </w:rPr>
      </w:pPr>
      <w:r w:rsidRPr="00771DAD">
        <w:rPr>
          <w:lang w:val="sr-Cyrl-RS"/>
        </w:rPr>
        <w:t>3) постројења за производњу керамичких производа печењем (плочице, санитарна галантерија, кућни прибор од керамике и порцелана и сл)</w:t>
      </w:r>
      <w:r w:rsidR="007A2F71" w:rsidRPr="00771DAD">
        <w:rPr>
          <w:lang w:val="sr-Cyrl-RS"/>
        </w:rPr>
        <w:t>,</w:t>
      </w:r>
      <w:r w:rsidRPr="00771DAD">
        <w:rPr>
          <w:lang w:val="sr-Cyrl-RS"/>
        </w:rPr>
        <w:t xml:space="preserve"> као и производња грађевинског материјала печењем (цреп, цигла и сл) капацитета преко 75 t</w:t>
      </w:r>
      <w:r w:rsidR="00270002" w:rsidRPr="00771DAD">
        <w:rPr>
          <w:lang w:val="sr-Cyrl-RS"/>
        </w:rPr>
        <w:t xml:space="preserve"> </w:t>
      </w:r>
      <w:r w:rsidR="00737FEC" w:rsidRPr="00771DAD">
        <w:rPr>
          <w:lang w:val="sr-Cyrl-RS"/>
        </w:rPr>
        <w:t>на дан,</w:t>
      </w:r>
    </w:p>
    <w:p w14:paraId="69694A8F" w14:textId="5A2884F3" w:rsidR="00EA03C0" w:rsidRPr="00771DAD" w:rsidRDefault="00EA03C0" w:rsidP="00270002">
      <w:pPr>
        <w:pStyle w:val="Normal1"/>
        <w:shd w:val="clear" w:color="auto" w:fill="FFFFFF"/>
        <w:ind w:firstLine="720"/>
        <w:jc w:val="both"/>
        <w:rPr>
          <w:color w:val="000000"/>
          <w:lang w:val="sr-Cyrl-RS"/>
        </w:rPr>
      </w:pPr>
      <w:r w:rsidRPr="00771DAD">
        <w:rPr>
          <w:lang w:val="sr-Cyrl-RS"/>
        </w:rPr>
        <w:t>4) постројења за производњу, третман, прераду или обраду хране из:</w:t>
      </w:r>
    </w:p>
    <w:p w14:paraId="075E4956" w14:textId="3A47F201" w:rsidR="00EA03C0" w:rsidRPr="00771DAD" w:rsidRDefault="00EA03C0" w:rsidP="00270002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  <w:r w:rsidRPr="00771DAD">
        <w:rPr>
          <w:rFonts w:ascii="Times New Roman" w:hAnsi="Times New Roman" w:cs="Times New Roman"/>
          <w:lang w:val="sr-Cyrl-RS"/>
        </w:rPr>
        <w:t>(1)</w:t>
      </w:r>
      <w:r w:rsidRPr="00771DAD">
        <w:rPr>
          <w:rFonts w:ascii="Times New Roman" w:eastAsia="Times New Roman" w:hAnsi="Times New Roman" w:cs="Times New Roman"/>
          <w:lang w:val="sr-Cyrl-RS"/>
        </w:rPr>
        <w:t xml:space="preserve"> сировина животињског порекла, укључујући масти (осим млека)</w:t>
      </w:r>
      <w:r w:rsidRPr="00771DAD">
        <w:rPr>
          <w:rFonts w:ascii="Times New Roman" w:hAnsi="Times New Roman" w:cs="Times New Roman"/>
          <w:lang w:val="sr-Cyrl-RS"/>
        </w:rPr>
        <w:t xml:space="preserve"> к</w:t>
      </w:r>
      <w:r w:rsidRPr="00771DAD">
        <w:rPr>
          <w:rFonts w:ascii="Times New Roman" w:eastAsia="Times New Roman" w:hAnsi="Times New Roman" w:cs="Times New Roman"/>
          <w:lang w:val="sr-Cyrl-RS"/>
        </w:rPr>
        <w:t>апацитета преко 75 t</w:t>
      </w:r>
      <w:r w:rsidR="00551D7A" w:rsidRPr="00771DA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771DAD">
        <w:rPr>
          <w:rFonts w:ascii="Times New Roman" w:eastAsia="Times New Roman" w:hAnsi="Times New Roman" w:cs="Times New Roman"/>
          <w:lang w:val="sr-Cyrl-RS"/>
        </w:rPr>
        <w:t>на дан</w:t>
      </w:r>
      <w:r w:rsidR="00737FEC" w:rsidRPr="00771DAD">
        <w:rPr>
          <w:rFonts w:ascii="Times New Roman" w:eastAsia="Times New Roman" w:hAnsi="Times New Roman" w:cs="Times New Roman"/>
          <w:lang w:val="sr-Cyrl-RS"/>
        </w:rPr>
        <w:t>,</w:t>
      </w:r>
    </w:p>
    <w:p w14:paraId="4730259C" w14:textId="51362AAA" w:rsidR="00EA03C0" w:rsidRPr="00771DAD" w:rsidRDefault="00EA03C0" w:rsidP="00270002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  <w:r w:rsidRPr="00771DAD">
        <w:rPr>
          <w:rFonts w:ascii="Times New Roman" w:eastAsia="Times New Roman" w:hAnsi="Times New Roman" w:cs="Times New Roman"/>
          <w:lang w:val="sr-Cyrl-RS"/>
        </w:rPr>
        <w:t xml:space="preserve">(2) сировина биљног порекла, укључујући уља, </w:t>
      </w:r>
      <w:r w:rsidRPr="00771DAD">
        <w:rPr>
          <w:rFonts w:ascii="Times New Roman" w:hAnsi="Times New Roman" w:cs="Times New Roman"/>
          <w:lang w:val="sr-Cyrl-RS"/>
        </w:rPr>
        <w:t>к</w:t>
      </w:r>
      <w:r w:rsidRPr="00771DAD">
        <w:rPr>
          <w:rFonts w:ascii="Times New Roman" w:eastAsia="Times New Roman" w:hAnsi="Times New Roman" w:cs="Times New Roman"/>
          <w:lang w:val="sr-Cyrl-RS"/>
        </w:rPr>
        <w:t>апацитета преко 300 t</w:t>
      </w:r>
      <w:r w:rsidR="007A2F71" w:rsidRPr="00771DA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771DAD">
        <w:rPr>
          <w:rFonts w:ascii="Times New Roman" w:eastAsia="Times New Roman" w:hAnsi="Times New Roman" w:cs="Times New Roman"/>
          <w:lang w:val="sr-Cyrl-RS"/>
        </w:rPr>
        <w:t xml:space="preserve">на дан; </w:t>
      </w:r>
    </w:p>
    <w:p w14:paraId="1D1FA272" w14:textId="7F03AF6E" w:rsidR="00EA03C0" w:rsidRPr="00771DAD" w:rsidRDefault="00EA03C0" w:rsidP="00270002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771DAD">
        <w:rPr>
          <w:rFonts w:ascii="Times New Roman" w:eastAsia="Times New Roman" w:hAnsi="Times New Roman" w:cs="Times New Roman"/>
          <w:lang w:val="sr-Cyrl-RS"/>
        </w:rPr>
        <w:t>5) постројења за обраду, третман и прераду млека</w:t>
      </w:r>
      <w:r w:rsidRPr="00771DAD">
        <w:rPr>
          <w:rFonts w:ascii="Times New Roman" w:hAnsi="Times New Roman" w:cs="Times New Roman"/>
          <w:lang w:val="sr-Cyrl-RS"/>
        </w:rPr>
        <w:t xml:space="preserve"> к</w:t>
      </w:r>
      <w:r w:rsidRPr="00771DAD">
        <w:rPr>
          <w:rFonts w:ascii="Times New Roman" w:eastAsia="Times New Roman" w:hAnsi="Times New Roman" w:cs="Times New Roman"/>
          <w:lang w:val="sr-Cyrl-RS"/>
        </w:rPr>
        <w:t>апацитета преко 200.000 литара на дан</w:t>
      </w:r>
      <w:r w:rsidR="00737FEC" w:rsidRPr="00771DAD">
        <w:rPr>
          <w:rFonts w:ascii="Times New Roman" w:eastAsia="Times New Roman" w:hAnsi="Times New Roman" w:cs="Times New Roman"/>
          <w:lang w:val="sr-Cyrl-RS"/>
        </w:rPr>
        <w:t>,</w:t>
      </w:r>
    </w:p>
    <w:p w14:paraId="61A7C1E9" w14:textId="4076E652" w:rsidR="00EA03C0" w:rsidRPr="00771DAD" w:rsidRDefault="00EA03C0" w:rsidP="00270002">
      <w:pPr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771DAD">
        <w:rPr>
          <w:rFonts w:ascii="Times New Roman" w:eastAsia="Times New Roman" w:hAnsi="Times New Roman" w:cs="Times New Roman"/>
          <w:lang w:val="sr-Cyrl-RS"/>
        </w:rPr>
        <w:t>6) постројења за клање животиња</w:t>
      </w:r>
      <w:r w:rsidRPr="00771DAD">
        <w:rPr>
          <w:rFonts w:ascii="Times New Roman" w:hAnsi="Times New Roman" w:cs="Times New Roman"/>
          <w:lang w:val="sr-Cyrl-RS"/>
        </w:rPr>
        <w:t xml:space="preserve"> к</w:t>
      </w:r>
      <w:r w:rsidRPr="00771DAD">
        <w:rPr>
          <w:rFonts w:ascii="Times New Roman" w:eastAsia="Times New Roman" w:hAnsi="Times New Roman" w:cs="Times New Roman"/>
          <w:lang w:val="sr-Cyrl-RS"/>
        </w:rPr>
        <w:t>апацитета преко 50 t на дан</w:t>
      </w:r>
      <w:r w:rsidR="00737FEC" w:rsidRPr="00771DAD">
        <w:rPr>
          <w:rFonts w:ascii="Times New Roman" w:eastAsia="Times New Roman" w:hAnsi="Times New Roman" w:cs="Times New Roman"/>
          <w:lang w:val="sr-Cyrl-RS"/>
        </w:rPr>
        <w:t>,</w:t>
      </w:r>
      <w:r w:rsidRPr="00771DAD">
        <w:rPr>
          <w:rFonts w:ascii="Times New Roman" w:eastAsia="Times New Roman" w:hAnsi="Times New Roman" w:cs="Times New Roman"/>
          <w:lang w:val="sr-Cyrl-RS"/>
        </w:rPr>
        <w:t xml:space="preserve"> </w:t>
      </w:r>
    </w:p>
    <w:p w14:paraId="7BC6E0F5" w14:textId="4316961C" w:rsidR="00EA03C0" w:rsidRPr="00771DAD" w:rsidRDefault="00EA03C0" w:rsidP="00270002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lang w:val="sr-Cyrl-RS"/>
        </w:rPr>
      </w:pPr>
      <w:r w:rsidRPr="00771DAD">
        <w:rPr>
          <w:rFonts w:ascii="Times New Roman" w:eastAsia="Times New Roman" w:hAnsi="Times New Roman" w:cs="Times New Roman"/>
          <w:lang w:val="sr-Cyrl-RS"/>
        </w:rPr>
        <w:t>7) постројења за предтретман влакана, тканина и папира (прање, бељење, мерцеризација, штампање, хемијски третман и сл) или бојење влакана или тканина</w:t>
      </w:r>
      <w:r w:rsidRPr="00771DAD">
        <w:rPr>
          <w:rFonts w:ascii="Times New Roman" w:hAnsi="Times New Roman" w:cs="Times New Roman"/>
          <w:lang w:val="sr-Cyrl-RS"/>
        </w:rPr>
        <w:t xml:space="preserve"> </w:t>
      </w:r>
      <w:r w:rsidRPr="00771DAD">
        <w:rPr>
          <w:rFonts w:ascii="Times New Roman" w:eastAsia="Times New Roman" w:hAnsi="Times New Roman" w:cs="Times New Roman"/>
          <w:lang w:val="sr-Cyrl-RS"/>
        </w:rPr>
        <w:t>капацитета преко 10 t  на дан</w:t>
      </w:r>
      <w:r w:rsidR="00737FEC" w:rsidRPr="00771DAD">
        <w:rPr>
          <w:rFonts w:ascii="Times New Roman" w:eastAsia="Times New Roman" w:hAnsi="Times New Roman" w:cs="Times New Roman"/>
          <w:lang w:val="sr-Cyrl-RS"/>
        </w:rPr>
        <w:t>,</w:t>
      </w:r>
    </w:p>
    <w:p w14:paraId="17B104A0" w14:textId="581135E2" w:rsidR="00EA03C0" w:rsidRPr="00771DAD" w:rsidRDefault="00EA03C0" w:rsidP="00270002">
      <w:pPr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771DAD">
        <w:rPr>
          <w:rFonts w:ascii="Times New Roman" w:eastAsia="Times New Roman" w:hAnsi="Times New Roman" w:cs="Times New Roman"/>
          <w:lang w:val="sr-Cyrl-RS"/>
        </w:rPr>
        <w:t>8) постројења за штављење и обраду крзна и коже</w:t>
      </w:r>
      <w:r w:rsidRPr="00771DAD">
        <w:rPr>
          <w:rFonts w:ascii="Times New Roman" w:hAnsi="Times New Roman" w:cs="Times New Roman"/>
          <w:lang w:val="sr-Cyrl-RS"/>
        </w:rPr>
        <w:t xml:space="preserve"> </w:t>
      </w:r>
      <w:r w:rsidRPr="00771DAD">
        <w:rPr>
          <w:rFonts w:ascii="Times New Roman" w:eastAsia="Times New Roman" w:hAnsi="Times New Roman" w:cs="Times New Roman"/>
          <w:lang w:val="sr-Cyrl-RS"/>
        </w:rPr>
        <w:t>капацитета преко 12 t на дан</w:t>
      </w:r>
      <w:r w:rsidR="00737FEC" w:rsidRPr="00771DAD">
        <w:rPr>
          <w:rFonts w:ascii="Times New Roman" w:eastAsia="Times New Roman" w:hAnsi="Times New Roman" w:cs="Times New Roman"/>
          <w:lang w:val="sr-Cyrl-RS"/>
        </w:rPr>
        <w:t>,</w:t>
      </w:r>
      <w:r w:rsidRPr="00771DAD">
        <w:rPr>
          <w:rFonts w:ascii="Times New Roman" w:eastAsia="Times New Roman" w:hAnsi="Times New Roman" w:cs="Times New Roman"/>
          <w:lang w:val="sr-Cyrl-RS"/>
        </w:rPr>
        <w:t xml:space="preserve"> </w:t>
      </w:r>
    </w:p>
    <w:p w14:paraId="7D0B3E12" w14:textId="6529B3D1" w:rsidR="00EA03C0" w:rsidRPr="00771DAD" w:rsidRDefault="00EA03C0" w:rsidP="00270002">
      <w:pPr>
        <w:spacing w:after="0" w:line="259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771DAD">
        <w:rPr>
          <w:rFonts w:ascii="Times New Roman" w:eastAsia="Times New Roman" w:hAnsi="Times New Roman" w:cs="Times New Roman"/>
          <w:lang w:val="sr-Cyrl-RS"/>
        </w:rPr>
        <w:t>9) постројења за одлагање, прераду или уништавање животињских лешева или отпадака животињског порекла (кафилерије)</w:t>
      </w:r>
      <w:r w:rsidRPr="00771DAD">
        <w:rPr>
          <w:rFonts w:ascii="Times New Roman" w:hAnsi="Times New Roman" w:cs="Times New Roman"/>
          <w:lang w:val="sr-Cyrl-RS"/>
        </w:rPr>
        <w:t xml:space="preserve"> </w:t>
      </w:r>
      <w:r w:rsidRPr="00771DAD">
        <w:rPr>
          <w:rFonts w:ascii="Times New Roman" w:eastAsia="Times New Roman" w:hAnsi="Times New Roman" w:cs="Times New Roman"/>
          <w:lang w:val="sr-Cyrl-RS"/>
        </w:rPr>
        <w:t>капацитета  преко 10 t  на дан</w:t>
      </w:r>
      <w:r w:rsidR="00737FEC" w:rsidRPr="00771DAD">
        <w:rPr>
          <w:rFonts w:ascii="Times New Roman" w:eastAsia="Times New Roman" w:hAnsi="Times New Roman" w:cs="Times New Roman"/>
          <w:lang w:val="sr-Cyrl-RS"/>
        </w:rPr>
        <w:t>,</w:t>
      </w:r>
      <w:r w:rsidRPr="00771DAD">
        <w:rPr>
          <w:rFonts w:ascii="Times New Roman" w:eastAsia="Times New Roman" w:hAnsi="Times New Roman" w:cs="Times New Roman"/>
          <w:lang w:val="sr-Cyrl-RS"/>
        </w:rPr>
        <w:t xml:space="preserve"> </w:t>
      </w:r>
    </w:p>
    <w:p w14:paraId="33593179" w14:textId="77777777" w:rsidR="00EA03C0" w:rsidRPr="00771DAD" w:rsidRDefault="00EA03C0" w:rsidP="001411B4">
      <w:pPr>
        <w:spacing w:after="0" w:line="259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14:paraId="7FCBCF63" w14:textId="77777777" w:rsidR="00EA03C0" w:rsidRPr="00771DAD" w:rsidRDefault="00EA03C0" w:rsidP="00270002">
      <w:pPr>
        <w:spacing w:line="259" w:lineRule="auto"/>
        <w:ind w:firstLine="720"/>
        <w:jc w:val="both"/>
        <w:rPr>
          <w:strike/>
          <w:lang w:val="sr-Cyrl-RS"/>
        </w:rPr>
      </w:pPr>
      <w:r w:rsidRPr="00771DAD">
        <w:rPr>
          <w:rFonts w:ascii="Times New Roman" w:eastAsia="Times New Roman" w:hAnsi="Times New Roman" w:cs="Times New Roman"/>
          <w:lang w:val="sr-Cyrl-RS"/>
        </w:rPr>
        <w:t xml:space="preserve">10) друга постројења и активности </w:t>
      </w:r>
      <w:r w:rsidRPr="00771DAD">
        <w:rPr>
          <w:rFonts w:ascii="Times New Roman" w:hAnsi="Times New Roman" w:cs="Times New Roman"/>
          <w:lang w:val="sr-Cyrl-RS"/>
        </w:rPr>
        <w:t>за које се издаје интегрисана дозвола;</w:t>
      </w:r>
    </w:p>
    <w:p w14:paraId="48E00066" w14:textId="782F88D3" w:rsidR="00EA03C0" w:rsidRPr="00771DAD" w:rsidRDefault="00EA03C0" w:rsidP="00270002">
      <w:pPr>
        <w:pStyle w:val="Normal1"/>
        <w:shd w:val="clear" w:color="auto" w:fill="FFFFFF"/>
        <w:ind w:firstLine="720"/>
        <w:jc w:val="both"/>
        <w:rPr>
          <w:lang w:val="sr-Cyrl-RS"/>
        </w:rPr>
      </w:pPr>
      <w:r w:rsidRPr="00771DAD">
        <w:rPr>
          <w:lang w:val="sr-Cyrl-RS"/>
        </w:rPr>
        <w:t>2</w:t>
      </w:r>
      <w:r w:rsidR="00AC7506" w:rsidRPr="00771DAD">
        <w:rPr>
          <w:lang w:val="sr-Cyrl-RS"/>
        </w:rPr>
        <w:t>3</w:t>
      </w:r>
      <w:r w:rsidRPr="00771DAD">
        <w:rPr>
          <w:lang w:val="sr-Cyrl-RS"/>
        </w:rPr>
        <w:t xml:space="preserve">. </w:t>
      </w:r>
      <w:bookmarkStart w:id="8" w:name="_Hlk192594249"/>
      <w:r w:rsidRPr="00771DAD">
        <w:rPr>
          <w:lang w:val="sr-Cyrl-RS"/>
        </w:rPr>
        <w:t>Стратешки енергетски пројекти који су одређени као стратешки сагласно прописима којима се уређује област енергетике;</w:t>
      </w:r>
    </w:p>
    <w:bookmarkEnd w:id="8"/>
    <w:p w14:paraId="547C3793" w14:textId="1E14C609" w:rsidR="00EA03C0" w:rsidRPr="00771DAD" w:rsidRDefault="00EA03C0" w:rsidP="00270002">
      <w:pPr>
        <w:pStyle w:val="Normal1"/>
        <w:shd w:val="clear" w:color="auto" w:fill="FFFFFF"/>
        <w:spacing w:after="0" w:afterAutospacing="0"/>
        <w:ind w:firstLine="720"/>
        <w:jc w:val="both"/>
        <w:rPr>
          <w:lang w:val="sr-Cyrl-RS"/>
        </w:rPr>
      </w:pPr>
      <w:r w:rsidRPr="00771DAD">
        <w:rPr>
          <w:lang w:val="sr-Cyrl-RS"/>
        </w:rPr>
        <w:t>2</w:t>
      </w:r>
      <w:bookmarkStart w:id="9" w:name="_Hlk192593224"/>
      <w:r w:rsidR="00AC7506" w:rsidRPr="00771DAD">
        <w:rPr>
          <w:lang w:val="sr-Cyrl-RS"/>
        </w:rPr>
        <w:t>4</w:t>
      </w:r>
      <w:r w:rsidRPr="00771DAD">
        <w:rPr>
          <w:lang w:val="sr-Cyrl-RS"/>
        </w:rPr>
        <w:t>. Извођење више објеката, постројења, радова или активности које се планирају и/или изводе истовремено или у фазама, а заједно чине јединствену економску и/или техничко-технолошку целину, ако као целина представљају неки од пројеката наведених у овој листи;</w:t>
      </w:r>
    </w:p>
    <w:p w14:paraId="3C6CD92B" w14:textId="2ED8092E" w:rsidR="00EA03C0" w:rsidRPr="00771DAD" w:rsidRDefault="00EA03C0" w:rsidP="007A2F71">
      <w:pPr>
        <w:pStyle w:val="Normal1"/>
        <w:shd w:val="clear" w:color="auto" w:fill="FFFFFF"/>
        <w:spacing w:after="0" w:afterAutospacing="0"/>
        <w:ind w:firstLine="720"/>
        <w:jc w:val="both"/>
        <w:rPr>
          <w:lang w:val="sr-Cyrl-RS"/>
        </w:rPr>
      </w:pPr>
      <w:r w:rsidRPr="00771DAD">
        <w:rPr>
          <w:lang w:val="sr-Cyrl-RS"/>
        </w:rPr>
        <w:t>2</w:t>
      </w:r>
      <w:r w:rsidR="00AC7506" w:rsidRPr="00771DAD">
        <w:rPr>
          <w:lang w:val="sr-Cyrl-RS"/>
        </w:rPr>
        <w:t>5</w:t>
      </w:r>
      <w:r w:rsidRPr="00771DAD">
        <w:rPr>
          <w:lang w:val="sr-Cyrl-RS"/>
        </w:rPr>
        <w:t>. Пројекти са Листе II ако се планирају и/или изводе истовремено или у</w:t>
      </w:r>
      <w:r w:rsidR="009B3ED9" w:rsidRPr="00771DAD">
        <w:rPr>
          <w:lang w:val="sr-Cyrl-RS"/>
        </w:rPr>
        <w:t xml:space="preserve"> фазама са пројектима са Листе I</w:t>
      </w:r>
      <w:r w:rsidRPr="00771DAD">
        <w:rPr>
          <w:lang w:val="sr-Cyrl-RS"/>
        </w:rPr>
        <w:t>, а заједно чине јединствену економску и/или техничко-технолошку целину;</w:t>
      </w:r>
    </w:p>
    <w:p w14:paraId="36D42D80" w14:textId="77777777" w:rsidR="00EA03C0" w:rsidRPr="00771DAD" w:rsidRDefault="00EA03C0" w:rsidP="001411B4">
      <w:pPr>
        <w:pStyle w:val="Normal1"/>
        <w:shd w:val="clear" w:color="auto" w:fill="FFFFFF"/>
        <w:spacing w:before="0" w:beforeAutospacing="0" w:after="0" w:afterAutospacing="0"/>
        <w:jc w:val="both"/>
        <w:rPr>
          <w:color w:val="C00000"/>
          <w:lang w:val="sr-Cyrl-RS"/>
        </w:rPr>
      </w:pPr>
    </w:p>
    <w:p w14:paraId="04E24A0A" w14:textId="7548F892" w:rsidR="00EA03C0" w:rsidRPr="00771DAD" w:rsidRDefault="00EA03C0" w:rsidP="007A2F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771DAD">
        <w:rPr>
          <w:rFonts w:ascii="Times New Roman" w:eastAsia="Times New Roman" w:hAnsi="Times New Roman" w:cs="Times New Roman"/>
          <w:lang w:val="sr-Cyrl-RS"/>
        </w:rPr>
        <w:lastRenderedPageBreak/>
        <w:t>2</w:t>
      </w:r>
      <w:r w:rsidR="00AC7506" w:rsidRPr="00771DAD">
        <w:rPr>
          <w:rFonts w:ascii="Times New Roman" w:eastAsia="Times New Roman" w:hAnsi="Times New Roman" w:cs="Times New Roman"/>
          <w:lang w:val="sr-Cyrl-RS"/>
        </w:rPr>
        <w:t>6</w:t>
      </w:r>
      <w:r w:rsidRPr="00771DAD">
        <w:rPr>
          <w:rFonts w:ascii="Times New Roman" w:eastAsia="Times New Roman" w:hAnsi="Times New Roman" w:cs="Times New Roman"/>
          <w:lang w:val="sr-Cyrl-RS"/>
        </w:rPr>
        <w:t>.</w:t>
      </w:r>
      <w:r w:rsidR="004B1851" w:rsidRPr="00771DA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771DAD">
        <w:rPr>
          <w:rFonts w:ascii="Times New Roman" w:eastAsia="Times New Roman" w:hAnsi="Times New Roman" w:cs="Times New Roman"/>
          <w:lang w:val="sr-Cyrl-RS"/>
        </w:rPr>
        <w:t>Свака измена или проширење пројекта са Листе I</w:t>
      </w:r>
      <w:r w:rsidR="004B1851" w:rsidRPr="00771DAD">
        <w:rPr>
          <w:rFonts w:ascii="Times New Roman" w:eastAsia="Times New Roman" w:hAnsi="Times New Roman" w:cs="Times New Roman"/>
          <w:lang w:val="sr-Cyrl-RS"/>
        </w:rPr>
        <w:t>,</w:t>
      </w:r>
      <w:r w:rsidRPr="00771DAD">
        <w:rPr>
          <w:rFonts w:ascii="Times New Roman" w:eastAsia="Times New Roman" w:hAnsi="Times New Roman" w:cs="Times New Roman"/>
          <w:lang w:val="sr-Cyrl-RS"/>
        </w:rPr>
        <w:t xml:space="preserve"> ако та измена или проширење достиже или прелази неки од прописаних прагова; </w:t>
      </w:r>
    </w:p>
    <w:p w14:paraId="783F207F" w14:textId="77777777" w:rsidR="00EA03C0" w:rsidRPr="00771DAD" w:rsidRDefault="00EA03C0" w:rsidP="001411B4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14:paraId="28CE9130" w14:textId="6D4D0141" w:rsidR="00EA03C0" w:rsidRPr="00771DAD" w:rsidRDefault="00EA03C0" w:rsidP="007A2F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r w:rsidRPr="00771DAD">
        <w:rPr>
          <w:rFonts w:ascii="Times New Roman" w:hAnsi="Times New Roman" w:cs="Times New Roman"/>
          <w:lang w:val="sr-Cyrl-RS"/>
        </w:rPr>
        <w:t>2</w:t>
      </w:r>
      <w:r w:rsidR="00AC7506" w:rsidRPr="00771DAD">
        <w:rPr>
          <w:rFonts w:ascii="Times New Roman" w:hAnsi="Times New Roman" w:cs="Times New Roman"/>
          <w:lang w:val="sr-Cyrl-RS"/>
        </w:rPr>
        <w:t>7</w:t>
      </w:r>
      <w:r w:rsidRPr="00771DAD">
        <w:rPr>
          <w:rFonts w:ascii="Times New Roman" w:hAnsi="Times New Roman" w:cs="Times New Roman"/>
          <w:lang w:val="sr-Cyrl-RS"/>
        </w:rPr>
        <w:t>.</w:t>
      </w:r>
      <w:r w:rsidRPr="00771DAD">
        <w:rPr>
          <w:rFonts w:ascii="Times New Roman" w:eastAsia="Times New Roman" w:hAnsi="Times New Roman" w:cs="Times New Roman"/>
          <w:lang w:val="sr-Cyrl-RS"/>
        </w:rPr>
        <w:t xml:space="preserve"> Пројекти наведени у Листи I  и пројекти наведени у Листи II</w:t>
      </w:r>
      <w:r w:rsidR="00CF067E" w:rsidRPr="00771DA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771DAD">
        <w:rPr>
          <w:rFonts w:ascii="Times New Roman" w:eastAsia="Times New Roman" w:hAnsi="Times New Roman" w:cs="Times New Roman"/>
          <w:lang w:val="sr-Cyrl-RS"/>
        </w:rPr>
        <w:t>без обзира на прописану величину, односно капацитет, површину или дужину, уколико се изводе у заштићеном подручју, заштићеној околини непокретног културног добра или у другом подручју посебне намене</w:t>
      </w:r>
      <w:bookmarkEnd w:id="9"/>
      <w:r w:rsidRPr="00771DAD">
        <w:rPr>
          <w:rFonts w:ascii="Times New Roman" w:eastAsia="Times New Roman" w:hAnsi="Times New Roman" w:cs="Times New Roman"/>
          <w:lang w:val="sr-Cyrl-RS"/>
        </w:rPr>
        <w:t>;</w:t>
      </w:r>
    </w:p>
    <w:p w14:paraId="17A4AB64" w14:textId="77777777" w:rsidR="00EA03C0" w:rsidRPr="00771DAD" w:rsidRDefault="00EA03C0" w:rsidP="001411B4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FF0000"/>
          <w:sz w:val="20"/>
          <w:szCs w:val="20"/>
          <w:lang w:val="sr-Cyrl-RS"/>
        </w:rPr>
      </w:pPr>
    </w:p>
    <w:p w14:paraId="04906B05" w14:textId="7E75FE44" w:rsidR="00931ABE" w:rsidRPr="00771DAD" w:rsidRDefault="00EA03C0" w:rsidP="007A2F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sr-Cyrl-RS"/>
        </w:rPr>
      </w:pPr>
      <w:bookmarkStart w:id="10" w:name="_Hlk199931117"/>
      <w:r w:rsidRPr="00771DAD">
        <w:rPr>
          <w:rFonts w:ascii="Times New Roman" w:eastAsia="Times New Roman" w:hAnsi="Times New Roman" w:cs="Times New Roman"/>
          <w:lang w:val="sr-Cyrl-RS"/>
        </w:rPr>
        <w:t>2</w:t>
      </w:r>
      <w:r w:rsidR="00AC7506" w:rsidRPr="00771DAD">
        <w:rPr>
          <w:rFonts w:ascii="Times New Roman" w:eastAsia="Times New Roman" w:hAnsi="Times New Roman" w:cs="Times New Roman"/>
          <w:lang w:val="sr-Cyrl-RS"/>
        </w:rPr>
        <w:t>8</w:t>
      </w:r>
      <w:r w:rsidR="00AC3A1A" w:rsidRPr="00771DAD">
        <w:rPr>
          <w:rFonts w:ascii="Times New Roman" w:eastAsia="Times New Roman" w:hAnsi="Times New Roman" w:cs="Times New Roman"/>
          <w:lang w:val="sr-Cyrl-RS"/>
        </w:rPr>
        <w:t>.</w:t>
      </w:r>
      <w:r w:rsidRPr="00771DAD">
        <w:rPr>
          <w:rFonts w:ascii="Times New Roman" w:eastAsia="Times New Roman" w:hAnsi="Times New Roman" w:cs="Times New Roman"/>
          <w:lang w:val="sr-Cyrl-RS"/>
        </w:rPr>
        <w:t xml:space="preserve"> Пројекти са ове листе намењени искључиво или углавном развоју или испитивању нових метода или нових производа, који се не спроводе дуже од две године</w:t>
      </w:r>
      <w:bookmarkEnd w:id="10"/>
      <w:r w:rsidR="00BC2BB7" w:rsidRPr="00771DAD">
        <w:rPr>
          <w:rFonts w:ascii="Times New Roman" w:eastAsia="Times New Roman" w:hAnsi="Times New Roman" w:cs="Times New Roman"/>
          <w:lang w:val="sr-Cyrl-RS"/>
        </w:rPr>
        <w:t>.</w:t>
      </w:r>
    </w:p>
    <w:p w14:paraId="1E351878" w14:textId="77777777" w:rsidR="00BC2BB7" w:rsidRPr="00771DAD" w:rsidRDefault="00BC2BB7" w:rsidP="001411B4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RS"/>
        </w:rPr>
      </w:pPr>
    </w:p>
    <w:p w14:paraId="1E273B54" w14:textId="7849A5A2" w:rsidR="00BC2BB7" w:rsidRPr="00771DAD" w:rsidRDefault="00BC2BB7" w:rsidP="001411B4">
      <w:pPr>
        <w:jc w:val="both"/>
        <w:rPr>
          <w:rFonts w:ascii="Times New Roman" w:eastAsia="Times New Roman" w:hAnsi="Times New Roman" w:cs="Times New Roman"/>
          <w:lang w:val="sr-Cyrl-RS"/>
        </w:rPr>
      </w:pPr>
    </w:p>
    <w:p w14:paraId="3C641D15" w14:textId="6D7EAC64" w:rsidR="001411B4" w:rsidRPr="00771DAD" w:rsidRDefault="001411B4" w:rsidP="001411B4">
      <w:pPr>
        <w:jc w:val="both"/>
        <w:rPr>
          <w:rFonts w:ascii="Times New Roman" w:eastAsia="Times New Roman" w:hAnsi="Times New Roman" w:cs="Times New Roman"/>
          <w:lang w:val="sr-Cyrl-RS"/>
        </w:rPr>
      </w:pPr>
    </w:p>
    <w:p w14:paraId="2FA85B03" w14:textId="47BBB192" w:rsidR="001411B4" w:rsidRPr="00771DAD" w:rsidRDefault="001411B4" w:rsidP="001411B4">
      <w:pPr>
        <w:jc w:val="both"/>
        <w:rPr>
          <w:rFonts w:ascii="Times New Roman" w:eastAsia="Times New Roman" w:hAnsi="Times New Roman" w:cs="Times New Roman"/>
          <w:lang w:val="sr-Cyrl-RS"/>
        </w:rPr>
      </w:pPr>
    </w:p>
    <w:p w14:paraId="0698020A" w14:textId="66434177" w:rsidR="001411B4" w:rsidRPr="00771DAD" w:rsidRDefault="001411B4" w:rsidP="001411B4">
      <w:pPr>
        <w:jc w:val="both"/>
        <w:rPr>
          <w:rFonts w:ascii="Times New Roman" w:eastAsia="Times New Roman" w:hAnsi="Times New Roman" w:cs="Times New Roman"/>
          <w:lang w:val="sr-Cyrl-RS"/>
        </w:rPr>
      </w:pPr>
    </w:p>
    <w:p w14:paraId="3D3370DC" w14:textId="2D6E05A1" w:rsidR="001411B4" w:rsidRPr="00771DAD" w:rsidRDefault="001411B4" w:rsidP="00931ABE">
      <w:pPr>
        <w:jc w:val="right"/>
        <w:rPr>
          <w:rFonts w:ascii="Times New Roman" w:eastAsia="Times New Roman" w:hAnsi="Times New Roman" w:cs="Times New Roman"/>
          <w:lang w:val="sr-Cyrl-RS"/>
        </w:rPr>
      </w:pPr>
    </w:p>
    <w:p w14:paraId="70DAD00C" w14:textId="3F707BA4" w:rsidR="001411B4" w:rsidRPr="00771DAD" w:rsidRDefault="001411B4" w:rsidP="00931ABE">
      <w:pPr>
        <w:jc w:val="right"/>
        <w:rPr>
          <w:rFonts w:ascii="Times New Roman" w:eastAsia="Times New Roman" w:hAnsi="Times New Roman" w:cs="Times New Roman"/>
          <w:lang w:val="sr-Cyrl-RS"/>
        </w:rPr>
      </w:pPr>
    </w:p>
    <w:p w14:paraId="59441958" w14:textId="1BC2B61D" w:rsidR="001411B4" w:rsidRPr="00771DAD" w:rsidRDefault="001411B4" w:rsidP="00931ABE">
      <w:pPr>
        <w:jc w:val="right"/>
        <w:rPr>
          <w:rFonts w:ascii="Times New Roman" w:eastAsia="Times New Roman" w:hAnsi="Times New Roman" w:cs="Times New Roman"/>
          <w:lang w:val="sr-Cyrl-RS"/>
        </w:rPr>
      </w:pPr>
    </w:p>
    <w:p w14:paraId="17D141FE" w14:textId="64C5BDF1" w:rsidR="001411B4" w:rsidRPr="00771DAD" w:rsidRDefault="001411B4" w:rsidP="00931ABE">
      <w:pPr>
        <w:jc w:val="right"/>
        <w:rPr>
          <w:rFonts w:ascii="Times New Roman" w:eastAsia="Times New Roman" w:hAnsi="Times New Roman" w:cs="Times New Roman"/>
          <w:lang w:val="sr-Cyrl-RS"/>
        </w:rPr>
      </w:pPr>
    </w:p>
    <w:p w14:paraId="1114A0C5" w14:textId="7317D9EB" w:rsidR="001411B4" w:rsidRPr="00771DAD" w:rsidRDefault="001411B4" w:rsidP="00931ABE">
      <w:pPr>
        <w:jc w:val="right"/>
        <w:rPr>
          <w:rFonts w:ascii="Times New Roman" w:eastAsia="Times New Roman" w:hAnsi="Times New Roman" w:cs="Times New Roman"/>
          <w:lang w:val="sr-Cyrl-RS"/>
        </w:rPr>
      </w:pPr>
    </w:p>
    <w:p w14:paraId="750FF2F2" w14:textId="440936C5" w:rsidR="001411B4" w:rsidRPr="00771DAD" w:rsidRDefault="001411B4" w:rsidP="00931ABE">
      <w:pPr>
        <w:jc w:val="right"/>
        <w:rPr>
          <w:rFonts w:ascii="Times New Roman" w:eastAsia="Times New Roman" w:hAnsi="Times New Roman" w:cs="Times New Roman"/>
          <w:lang w:val="sr-Cyrl-RS"/>
        </w:rPr>
      </w:pPr>
    </w:p>
    <w:p w14:paraId="3086F923" w14:textId="764C2580" w:rsidR="001411B4" w:rsidRPr="00771DAD" w:rsidRDefault="001411B4" w:rsidP="00931ABE">
      <w:pPr>
        <w:jc w:val="right"/>
        <w:rPr>
          <w:rFonts w:ascii="Times New Roman" w:eastAsia="Times New Roman" w:hAnsi="Times New Roman" w:cs="Times New Roman"/>
          <w:lang w:val="sr-Cyrl-RS"/>
        </w:rPr>
      </w:pPr>
    </w:p>
    <w:p w14:paraId="6247A4A5" w14:textId="25954C6F" w:rsidR="001411B4" w:rsidRPr="00771DAD" w:rsidRDefault="001411B4" w:rsidP="00931ABE">
      <w:pPr>
        <w:jc w:val="right"/>
        <w:rPr>
          <w:rFonts w:ascii="Times New Roman" w:eastAsia="Times New Roman" w:hAnsi="Times New Roman" w:cs="Times New Roman"/>
          <w:lang w:val="sr-Cyrl-RS"/>
        </w:rPr>
      </w:pPr>
    </w:p>
    <w:p w14:paraId="6BA1F219" w14:textId="5A271369" w:rsidR="001411B4" w:rsidRPr="00771DAD" w:rsidRDefault="001411B4" w:rsidP="00931ABE">
      <w:pPr>
        <w:jc w:val="right"/>
        <w:rPr>
          <w:rFonts w:ascii="Times New Roman" w:eastAsia="Times New Roman" w:hAnsi="Times New Roman" w:cs="Times New Roman"/>
          <w:lang w:val="sr-Cyrl-RS"/>
        </w:rPr>
      </w:pPr>
    </w:p>
    <w:p w14:paraId="28208ED1" w14:textId="1E5D14DF" w:rsidR="001411B4" w:rsidRPr="00771DAD" w:rsidRDefault="001411B4" w:rsidP="00931ABE">
      <w:pPr>
        <w:jc w:val="right"/>
        <w:rPr>
          <w:rFonts w:ascii="Times New Roman" w:eastAsia="Times New Roman" w:hAnsi="Times New Roman" w:cs="Times New Roman"/>
          <w:lang w:val="sr-Cyrl-RS"/>
        </w:rPr>
      </w:pPr>
    </w:p>
    <w:p w14:paraId="73F681A8" w14:textId="1598B7C4" w:rsidR="001411B4" w:rsidRPr="00771DAD" w:rsidRDefault="001411B4" w:rsidP="00931ABE">
      <w:pPr>
        <w:jc w:val="right"/>
        <w:rPr>
          <w:rFonts w:ascii="Times New Roman" w:eastAsia="Times New Roman" w:hAnsi="Times New Roman" w:cs="Times New Roman"/>
          <w:lang w:val="sr-Cyrl-RS"/>
        </w:rPr>
      </w:pPr>
    </w:p>
    <w:p w14:paraId="1ECEA0F0" w14:textId="57538596" w:rsidR="001411B4" w:rsidRPr="00771DAD" w:rsidRDefault="001411B4" w:rsidP="00931ABE">
      <w:pPr>
        <w:jc w:val="right"/>
        <w:rPr>
          <w:rFonts w:ascii="Times New Roman" w:eastAsia="Times New Roman" w:hAnsi="Times New Roman" w:cs="Times New Roman"/>
          <w:lang w:val="sr-Cyrl-RS"/>
        </w:rPr>
      </w:pPr>
    </w:p>
    <w:p w14:paraId="3A38A94E" w14:textId="7D6FD1BE" w:rsidR="001411B4" w:rsidRPr="00771DAD" w:rsidRDefault="001411B4" w:rsidP="00931ABE">
      <w:pPr>
        <w:jc w:val="right"/>
        <w:rPr>
          <w:rFonts w:ascii="Times New Roman" w:eastAsia="Times New Roman" w:hAnsi="Times New Roman" w:cs="Times New Roman"/>
          <w:lang w:val="sr-Cyrl-RS"/>
        </w:rPr>
      </w:pPr>
    </w:p>
    <w:p w14:paraId="45CE55D1" w14:textId="5673F430" w:rsidR="001411B4" w:rsidRPr="00771DAD" w:rsidRDefault="001411B4" w:rsidP="00931ABE">
      <w:pPr>
        <w:jc w:val="right"/>
        <w:rPr>
          <w:rFonts w:ascii="Times New Roman" w:eastAsia="Times New Roman" w:hAnsi="Times New Roman" w:cs="Times New Roman"/>
          <w:lang w:val="sr-Cyrl-RS"/>
        </w:rPr>
      </w:pPr>
    </w:p>
    <w:p w14:paraId="56D03690" w14:textId="7418D08F" w:rsidR="001411B4" w:rsidRPr="00771DAD" w:rsidRDefault="001411B4" w:rsidP="00D52710">
      <w:pPr>
        <w:rPr>
          <w:rFonts w:ascii="Times New Roman" w:eastAsia="Times New Roman" w:hAnsi="Times New Roman" w:cs="Times New Roman"/>
          <w:lang w:val="sr-Cyrl-RS"/>
        </w:rPr>
      </w:pPr>
    </w:p>
    <w:sectPr w:rsidR="001411B4" w:rsidRPr="00771DAD" w:rsidSect="0025628B">
      <w:footerReference w:type="default" r:id="rId8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D1E45" w14:textId="77777777" w:rsidR="002024C2" w:rsidRDefault="002024C2" w:rsidP="003E10CE">
      <w:pPr>
        <w:spacing w:after="0" w:line="240" w:lineRule="auto"/>
      </w:pPr>
      <w:r>
        <w:separator/>
      </w:r>
    </w:p>
  </w:endnote>
  <w:endnote w:type="continuationSeparator" w:id="0">
    <w:p w14:paraId="4F9F1055" w14:textId="77777777" w:rsidR="002024C2" w:rsidRDefault="002024C2" w:rsidP="003E1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42553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08B2A8" w14:textId="4465BD5D" w:rsidR="003E10CE" w:rsidRDefault="003E10C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3C8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0B8D3EF" w14:textId="77777777" w:rsidR="003E10CE" w:rsidRDefault="003E10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ECE38" w14:textId="77777777" w:rsidR="002024C2" w:rsidRDefault="002024C2" w:rsidP="003E10CE">
      <w:pPr>
        <w:spacing w:after="0" w:line="240" w:lineRule="auto"/>
      </w:pPr>
      <w:r>
        <w:separator/>
      </w:r>
    </w:p>
  </w:footnote>
  <w:footnote w:type="continuationSeparator" w:id="0">
    <w:p w14:paraId="4751F442" w14:textId="77777777" w:rsidR="002024C2" w:rsidRDefault="002024C2" w:rsidP="003E10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52DEB"/>
    <w:multiLevelType w:val="hybridMultilevel"/>
    <w:tmpl w:val="8500D490"/>
    <w:lvl w:ilvl="0" w:tplc="99BE76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E651A"/>
    <w:multiLevelType w:val="hybridMultilevel"/>
    <w:tmpl w:val="A2ECBBF4"/>
    <w:lvl w:ilvl="0" w:tplc="99BE76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1046F"/>
    <w:multiLevelType w:val="hybridMultilevel"/>
    <w:tmpl w:val="A62C60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F7435"/>
    <w:multiLevelType w:val="hybridMultilevel"/>
    <w:tmpl w:val="EF60CBFC"/>
    <w:lvl w:ilvl="0" w:tplc="B7B074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D6F5E"/>
    <w:multiLevelType w:val="hybridMultilevel"/>
    <w:tmpl w:val="78FA873E"/>
    <w:lvl w:ilvl="0" w:tplc="8D6842C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793613"/>
    <w:multiLevelType w:val="hybridMultilevel"/>
    <w:tmpl w:val="54BABDE6"/>
    <w:lvl w:ilvl="0" w:tplc="19449D7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C383A"/>
    <w:multiLevelType w:val="hybridMultilevel"/>
    <w:tmpl w:val="42F662E4"/>
    <w:lvl w:ilvl="0" w:tplc="1DD4C06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00A03"/>
    <w:multiLevelType w:val="hybridMultilevel"/>
    <w:tmpl w:val="9A308C84"/>
    <w:lvl w:ilvl="0" w:tplc="4092B23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1111E"/>
    <w:multiLevelType w:val="hybridMultilevel"/>
    <w:tmpl w:val="D74C2734"/>
    <w:lvl w:ilvl="0" w:tplc="FFFFFFFF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2821C4"/>
    <w:multiLevelType w:val="hybridMultilevel"/>
    <w:tmpl w:val="0570DDC4"/>
    <w:lvl w:ilvl="0" w:tplc="33B87720">
      <w:start w:val="1"/>
      <w:numFmt w:val="decimal"/>
      <w:lvlText w:val="%1)"/>
      <w:lvlJc w:val="left"/>
      <w:pPr>
        <w:ind w:left="72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9222E"/>
    <w:multiLevelType w:val="hybridMultilevel"/>
    <w:tmpl w:val="095A2F44"/>
    <w:lvl w:ilvl="0" w:tplc="04090011">
      <w:start w:val="1"/>
      <w:numFmt w:val="decimal"/>
      <w:lvlText w:val="%1)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3866521F"/>
    <w:multiLevelType w:val="hybridMultilevel"/>
    <w:tmpl w:val="A9D0298A"/>
    <w:lvl w:ilvl="0" w:tplc="260C25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278E0"/>
    <w:multiLevelType w:val="hybridMultilevel"/>
    <w:tmpl w:val="0F465F08"/>
    <w:lvl w:ilvl="0" w:tplc="8D6842C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453112"/>
    <w:multiLevelType w:val="hybridMultilevel"/>
    <w:tmpl w:val="7D967C2A"/>
    <w:lvl w:ilvl="0" w:tplc="60E2137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310E3E"/>
    <w:multiLevelType w:val="hybridMultilevel"/>
    <w:tmpl w:val="4398B28E"/>
    <w:lvl w:ilvl="0" w:tplc="FFFFFFFF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BC5A0B"/>
    <w:multiLevelType w:val="hybridMultilevel"/>
    <w:tmpl w:val="4E1036E2"/>
    <w:lvl w:ilvl="0" w:tplc="99BE76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8171E4"/>
    <w:multiLevelType w:val="hybridMultilevel"/>
    <w:tmpl w:val="07E2D88E"/>
    <w:lvl w:ilvl="0" w:tplc="70EA353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B05DA"/>
    <w:multiLevelType w:val="hybridMultilevel"/>
    <w:tmpl w:val="3A16B07C"/>
    <w:lvl w:ilvl="0" w:tplc="99BE76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AF0F5D"/>
    <w:multiLevelType w:val="hybridMultilevel"/>
    <w:tmpl w:val="EE46801E"/>
    <w:lvl w:ilvl="0" w:tplc="550AEB0C">
      <w:start w:val="4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FC094D"/>
    <w:multiLevelType w:val="hybridMultilevel"/>
    <w:tmpl w:val="5EA090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9C528A"/>
    <w:multiLevelType w:val="hybridMultilevel"/>
    <w:tmpl w:val="6EFAE14C"/>
    <w:lvl w:ilvl="0" w:tplc="99BE76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692B7D"/>
    <w:multiLevelType w:val="hybridMultilevel"/>
    <w:tmpl w:val="1CEE4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09416A"/>
    <w:multiLevelType w:val="hybridMultilevel"/>
    <w:tmpl w:val="5D866DFC"/>
    <w:lvl w:ilvl="0" w:tplc="9FE6A2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924BF9"/>
    <w:multiLevelType w:val="hybridMultilevel"/>
    <w:tmpl w:val="C4A218EA"/>
    <w:lvl w:ilvl="0" w:tplc="99BE76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2041C3"/>
    <w:multiLevelType w:val="hybridMultilevel"/>
    <w:tmpl w:val="2EA4A41C"/>
    <w:lvl w:ilvl="0" w:tplc="99BE76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275BAB"/>
    <w:multiLevelType w:val="hybridMultilevel"/>
    <w:tmpl w:val="16564BE6"/>
    <w:lvl w:ilvl="0" w:tplc="99BE76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5D6061"/>
    <w:multiLevelType w:val="hybridMultilevel"/>
    <w:tmpl w:val="66BCCA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1">
      <w:start w:val="1"/>
      <w:numFmt w:val="decimal"/>
      <w:lvlText w:val="%5)"/>
      <w:lvlJc w:val="left"/>
      <w:pPr>
        <w:ind w:left="45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DA6D1A"/>
    <w:multiLevelType w:val="hybridMultilevel"/>
    <w:tmpl w:val="F584624C"/>
    <w:lvl w:ilvl="0" w:tplc="A88EC820">
      <w:start w:val="10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D24F94"/>
    <w:multiLevelType w:val="hybridMultilevel"/>
    <w:tmpl w:val="B672AA28"/>
    <w:lvl w:ilvl="0" w:tplc="62C46F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95920"/>
    <w:multiLevelType w:val="hybridMultilevel"/>
    <w:tmpl w:val="C31455A6"/>
    <w:lvl w:ilvl="0" w:tplc="8D6842C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434B74"/>
    <w:multiLevelType w:val="multilevel"/>
    <w:tmpl w:val="DD22DF6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990" w:hanging="360"/>
      </w:pPr>
    </w:lvl>
    <w:lvl w:ilvl="2">
      <w:numFmt w:val="bullet"/>
      <w:lvlText w:val="-"/>
      <w:lvlJc w:val="left"/>
      <w:pPr>
        <w:ind w:left="1350" w:hanging="360"/>
      </w:pPr>
      <w:rPr>
        <w:rFonts w:ascii="Verdana" w:eastAsia="Times New Roman" w:hAnsi="Verdana" w:cs="Times New Roman" w:hint="default"/>
      </w:rPr>
    </w:lvl>
    <w:lvl w:ilvl="3">
      <w:start w:val="1"/>
      <w:numFmt w:val="decimal"/>
      <w:lvlText w:val="(%4)"/>
      <w:lvlJc w:val="left"/>
      <w:pPr>
        <w:ind w:left="1710" w:hanging="360"/>
      </w:pPr>
    </w:lvl>
    <w:lvl w:ilvl="4">
      <w:start w:val="1"/>
      <w:numFmt w:val="lowerLetter"/>
      <w:lvlText w:val="(%5)"/>
      <w:lvlJc w:val="left"/>
      <w:pPr>
        <w:ind w:left="2070" w:hanging="360"/>
      </w:pPr>
    </w:lvl>
    <w:lvl w:ilvl="5">
      <w:start w:val="1"/>
      <w:numFmt w:val="lowerRoman"/>
      <w:lvlText w:val="(%6)"/>
      <w:lvlJc w:val="left"/>
      <w:pPr>
        <w:ind w:left="2430" w:hanging="360"/>
      </w:pPr>
    </w:lvl>
    <w:lvl w:ilvl="6">
      <w:start w:val="1"/>
      <w:numFmt w:val="decimal"/>
      <w:lvlText w:val="%7."/>
      <w:lvlJc w:val="left"/>
      <w:pPr>
        <w:ind w:left="2790" w:hanging="360"/>
      </w:pPr>
    </w:lvl>
    <w:lvl w:ilvl="7">
      <w:start w:val="1"/>
      <w:numFmt w:val="lowerLetter"/>
      <w:lvlText w:val="%8."/>
      <w:lvlJc w:val="left"/>
      <w:pPr>
        <w:ind w:left="3150" w:hanging="360"/>
      </w:pPr>
    </w:lvl>
    <w:lvl w:ilvl="8">
      <w:start w:val="1"/>
      <w:numFmt w:val="lowerRoman"/>
      <w:lvlText w:val="%9."/>
      <w:lvlJc w:val="left"/>
      <w:pPr>
        <w:ind w:left="3510" w:hanging="360"/>
      </w:pPr>
    </w:lvl>
  </w:abstractNum>
  <w:abstractNum w:abstractNumId="31" w15:restartNumberingAfterBreak="0">
    <w:nsid w:val="7BAF3A82"/>
    <w:multiLevelType w:val="hybridMultilevel"/>
    <w:tmpl w:val="B9C09B44"/>
    <w:lvl w:ilvl="0" w:tplc="99BE76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C42CF6"/>
    <w:multiLevelType w:val="hybridMultilevel"/>
    <w:tmpl w:val="D7F2F7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333D24"/>
    <w:multiLevelType w:val="hybridMultilevel"/>
    <w:tmpl w:val="8CAAFE4C"/>
    <w:lvl w:ilvl="0" w:tplc="99BE767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3"/>
  </w:num>
  <w:num w:numId="4">
    <w:abstractNumId w:val="28"/>
  </w:num>
  <w:num w:numId="5">
    <w:abstractNumId w:val="9"/>
  </w:num>
  <w:num w:numId="6">
    <w:abstractNumId w:val="31"/>
  </w:num>
  <w:num w:numId="7">
    <w:abstractNumId w:val="0"/>
  </w:num>
  <w:num w:numId="8">
    <w:abstractNumId w:val="22"/>
  </w:num>
  <w:num w:numId="9">
    <w:abstractNumId w:val="25"/>
  </w:num>
  <w:num w:numId="10">
    <w:abstractNumId w:val="17"/>
  </w:num>
  <w:num w:numId="11">
    <w:abstractNumId w:val="7"/>
  </w:num>
  <w:num w:numId="12">
    <w:abstractNumId w:val="14"/>
  </w:num>
  <w:num w:numId="13">
    <w:abstractNumId w:val="29"/>
  </w:num>
  <w:num w:numId="14">
    <w:abstractNumId w:val="12"/>
  </w:num>
  <w:num w:numId="15">
    <w:abstractNumId w:val="1"/>
  </w:num>
  <w:num w:numId="16">
    <w:abstractNumId w:val="18"/>
  </w:num>
  <w:num w:numId="17">
    <w:abstractNumId w:val="15"/>
  </w:num>
  <w:num w:numId="18">
    <w:abstractNumId w:val="23"/>
  </w:num>
  <w:num w:numId="19">
    <w:abstractNumId w:val="4"/>
  </w:num>
  <w:num w:numId="20">
    <w:abstractNumId w:val="20"/>
  </w:num>
  <w:num w:numId="21">
    <w:abstractNumId w:val="26"/>
  </w:num>
  <w:num w:numId="22">
    <w:abstractNumId w:val="30"/>
  </w:num>
  <w:num w:numId="23">
    <w:abstractNumId w:val="24"/>
  </w:num>
  <w:num w:numId="24">
    <w:abstractNumId w:val="10"/>
  </w:num>
  <w:num w:numId="25">
    <w:abstractNumId w:val="27"/>
  </w:num>
  <w:num w:numId="26">
    <w:abstractNumId w:val="11"/>
  </w:num>
  <w:num w:numId="27">
    <w:abstractNumId w:val="21"/>
  </w:num>
  <w:num w:numId="28">
    <w:abstractNumId w:val="19"/>
  </w:num>
  <w:num w:numId="29">
    <w:abstractNumId w:val="32"/>
  </w:num>
  <w:num w:numId="30">
    <w:abstractNumId w:val="16"/>
  </w:num>
  <w:num w:numId="31">
    <w:abstractNumId w:val="8"/>
  </w:num>
  <w:num w:numId="32">
    <w:abstractNumId w:val="13"/>
  </w:num>
  <w:num w:numId="33">
    <w:abstractNumId w:val="6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3C0"/>
    <w:rsid w:val="00011D05"/>
    <w:rsid w:val="00015F35"/>
    <w:rsid w:val="0004167A"/>
    <w:rsid w:val="00093BCC"/>
    <w:rsid w:val="000D2BA8"/>
    <w:rsid w:val="000E11D6"/>
    <w:rsid w:val="00113C84"/>
    <w:rsid w:val="001339C4"/>
    <w:rsid w:val="001411B4"/>
    <w:rsid w:val="00192ECC"/>
    <w:rsid w:val="00195AE7"/>
    <w:rsid w:val="001962FE"/>
    <w:rsid w:val="001B36D1"/>
    <w:rsid w:val="001F2E4C"/>
    <w:rsid w:val="002024C2"/>
    <w:rsid w:val="00203080"/>
    <w:rsid w:val="00217025"/>
    <w:rsid w:val="00230CB3"/>
    <w:rsid w:val="00235E15"/>
    <w:rsid w:val="002367A7"/>
    <w:rsid w:val="00245A48"/>
    <w:rsid w:val="0025628B"/>
    <w:rsid w:val="00256711"/>
    <w:rsid w:val="00267BEA"/>
    <w:rsid w:val="00270002"/>
    <w:rsid w:val="00283B6E"/>
    <w:rsid w:val="00296078"/>
    <w:rsid w:val="002C06C7"/>
    <w:rsid w:val="002D514B"/>
    <w:rsid w:val="002D5513"/>
    <w:rsid w:val="002E13A7"/>
    <w:rsid w:val="003231FE"/>
    <w:rsid w:val="0035794C"/>
    <w:rsid w:val="00372020"/>
    <w:rsid w:val="003A0EEF"/>
    <w:rsid w:val="003C6DE1"/>
    <w:rsid w:val="003E0882"/>
    <w:rsid w:val="003E10CE"/>
    <w:rsid w:val="003F11DA"/>
    <w:rsid w:val="003F12BD"/>
    <w:rsid w:val="003F59E6"/>
    <w:rsid w:val="004301EC"/>
    <w:rsid w:val="004317D3"/>
    <w:rsid w:val="00475A19"/>
    <w:rsid w:val="00486168"/>
    <w:rsid w:val="00493EB0"/>
    <w:rsid w:val="004B1851"/>
    <w:rsid w:val="004D1139"/>
    <w:rsid w:val="004E73A8"/>
    <w:rsid w:val="005040C9"/>
    <w:rsid w:val="005260CB"/>
    <w:rsid w:val="00551D7A"/>
    <w:rsid w:val="00562919"/>
    <w:rsid w:val="005658C2"/>
    <w:rsid w:val="005B2EC4"/>
    <w:rsid w:val="005C04A7"/>
    <w:rsid w:val="006006F1"/>
    <w:rsid w:val="0066345D"/>
    <w:rsid w:val="00665249"/>
    <w:rsid w:val="006811F8"/>
    <w:rsid w:val="0069039F"/>
    <w:rsid w:val="006E15B5"/>
    <w:rsid w:val="006F2421"/>
    <w:rsid w:val="007269DC"/>
    <w:rsid w:val="00737FEC"/>
    <w:rsid w:val="0075603A"/>
    <w:rsid w:val="00771DAD"/>
    <w:rsid w:val="007A2F71"/>
    <w:rsid w:val="007B70C6"/>
    <w:rsid w:val="007E032E"/>
    <w:rsid w:val="008408B4"/>
    <w:rsid w:val="008540F3"/>
    <w:rsid w:val="00865B91"/>
    <w:rsid w:val="008822D4"/>
    <w:rsid w:val="008B2F00"/>
    <w:rsid w:val="008C5DDC"/>
    <w:rsid w:val="008F36A3"/>
    <w:rsid w:val="008F7ED7"/>
    <w:rsid w:val="00931ABE"/>
    <w:rsid w:val="009361D3"/>
    <w:rsid w:val="00940524"/>
    <w:rsid w:val="0099246D"/>
    <w:rsid w:val="009A0542"/>
    <w:rsid w:val="009B3ED9"/>
    <w:rsid w:val="009B4AC2"/>
    <w:rsid w:val="009B512E"/>
    <w:rsid w:val="009C58D7"/>
    <w:rsid w:val="009D7B85"/>
    <w:rsid w:val="00A32C76"/>
    <w:rsid w:val="00A51023"/>
    <w:rsid w:val="00A57470"/>
    <w:rsid w:val="00AC02C1"/>
    <w:rsid w:val="00AC3A1A"/>
    <w:rsid w:val="00AC7506"/>
    <w:rsid w:val="00AE101F"/>
    <w:rsid w:val="00AE45FE"/>
    <w:rsid w:val="00B066B5"/>
    <w:rsid w:val="00B657A4"/>
    <w:rsid w:val="00B903C5"/>
    <w:rsid w:val="00B9619A"/>
    <w:rsid w:val="00BC2BB7"/>
    <w:rsid w:val="00C15A37"/>
    <w:rsid w:val="00C31229"/>
    <w:rsid w:val="00C73C86"/>
    <w:rsid w:val="00C74CF9"/>
    <w:rsid w:val="00C930E3"/>
    <w:rsid w:val="00CA1BC8"/>
    <w:rsid w:val="00CB2B4A"/>
    <w:rsid w:val="00CD2436"/>
    <w:rsid w:val="00CF067E"/>
    <w:rsid w:val="00D10A86"/>
    <w:rsid w:val="00D150F7"/>
    <w:rsid w:val="00D24203"/>
    <w:rsid w:val="00D33336"/>
    <w:rsid w:val="00D40672"/>
    <w:rsid w:val="00D52710"/>
    <w:rsid w:val="00D62D39"/>
    <w:rsid w:val="00D8052C"/>
    <w:rsid w:val="00D905DB"/>
    <w:rsid w:val="00E10057"/>
    <w:rsid w:val="00E13366"/>
    <w:rsid w:val="00E15787"/>
    <w:rsid w:val="00E17A68"/>
    <w:rsid w:val="00E21F51"/>
    <w:rsid w:val="00E31A7F"/>
    <w:rsid w:val="00E54F45"/>
    <w:rsid w:val="00EA03C0"/>
    <w:rsid w:val="00EC2B76"/>
    <w:rsid w:val="00EE4310"/>
    <w:rsid w:val="00F13DE6"/>
    <w:rsid w:val="00F2012C"/>
    <w:rsid w:val="00F35D81"/>
    <w:rsid w:val="00F404D9"/>
    <w:rsid w:val="00F53784"/>
    <w:rsid w:val="00F65A8E"/>
    <w:rsid w:val="00F81A21"/>
    <w:rsid w:val="00FA3900"/>
    <w:rsid w:val="00FB7220"/>
    <w:rsid w:val="00FC3D40"/>
    <w:rsid w:val="00FE0E96"/>
    <w:rsid w:val="00FE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5A171"/>
  <w15:docId w15:val="{D9E6EDC1-B85B-42FE-B870-BDAAEF25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3C0"/>
  </w:style>
  <w:style w:type="paragraph" w:styleId="Heading1">
    <w:name w:val="heading 1"/>
    <w:basedOn w:val="Normal"/>
    <w:next w:val="Normal"/>
    <w:link w:val="Heading1Char"/>
    <w:uiPriority w:val="9"/>
    <w:qFormat/>
    <w:rsid w:val="00EA03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03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03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03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03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03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03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03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03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03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03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03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03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03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03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03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03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03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03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03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03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03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03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03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03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03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03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03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03C0"/>
    <w:rPr>
      <w:b/>
      <w:bCs/>
      <w:smallCaps/>
      <w:color w:val="0F4761" w:themeColor="accent1" w:themeShade="BF"/>
      <w:spacing w:val="5"/>
    </w:rPr>
  </w:style>
  <w:style w:type="paragraph" w:customStyle="1" w:styleId="Normal1">
    <w:name w:val="Normal1"/>
    <w:basedOn w:val="Normal"/>
    <w:rsid w:val="00EA0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03C0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03C0"/>
    <w:rPr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EA03C0"/>
    <w:rPr>
      <w:vertAlign w:val="superscript"/>
    </w:rPr>
  </w:style>
  <w:style w:type="table" w:customStyle="1" w:styleId="TableGridLight1">
    <w:name w:val="Table Grid Light1"/>
    <w:basedOn w:val="TableNormal"/>
    <w:uiPriority w:val="40"/>
    <w:rsid w:val="00EA03C0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DefaultParagraphFont"/>
    <w:uiPriority w:val="99"/>
    <w:unhideWhenUsed/>
    <w:rsid w:val="00EA03C0"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E10C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10CE"/>
  </w:style>
  <w:style w:type="paragraph" w:styleId="Footer">
    <w:name w:val="footer"/>
    <w:basedOn w:val="Normal"/>
    <w:link w:val="FooterChar"/>
    <w:uiPriority w:val="99"/>
    <w:unhideWhenUsed/>
    <w:rsid w:val="003E10C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1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36C9F-373F-450F-8EB7-6F39664D4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1857</Words>
  <Characters>10586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Milica Durać</dc:creator>
  <cp:lastModifiedBy>Andjelka Opacic</cp:lastModifiedBy>
  <cp:revision>13</cp:revision>
  <cp:lastPrinted>2025-11-10T12:23:00Z</cp:lastPrinted>
  <dcterms:created xsi:type="dcterms:W3CDTF">2025-11-28T08:41:00Z</dcterms:created>
  <dcterms:modified xsi:type="dcterms:W3CDTF">2025-11-28T11:17:00Z</dcterms:modified>
</cp:coreProperties>
</file>